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B61F67" w:rsidRPr="00B61F67" w:rsidTr="00B61F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F67" w:rsidRPr="00B61F67" w:rsidRDefault="00B61F67" w:rsidP="00B6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B61F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B61F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61F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сайті</w:t>
            </w:r>
            <w:proofErr w:type="spellEnd"/>
            <w:r w:rsidRPr="00B61F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30.09.2014</w:t>
            </w:r>
          </w:p>
        </w:tc>
      </w:tr>
      <w:tr w:rsidR="00B61F67" w:rsidRPr="00B61F67" w:rsidTr="00B61F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F67" w:rsidRPr="00B61F67" w:rsidRDefault="00B61F67" w:rsidP="00B6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 оновлення:18.11.2014</w:t>
            </w:r>
          </w:p>
        </w:tc>
      </w:tr>
    </w:tbl>
    <w:p w:rsidR="00B61F67" w:rsidRDefault="00B61F67" w:rsidP="00B6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1F67" w:rsidRPr="00B61F67" w:rsidRDefault="00B61F67" w:rsidP="00B6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Style w:val="a6"/>
          <w:rFonts w:ascii="Arial" w:hAnsi="Arial" w:cs="Arial"/>
          <w:sz w:val="20"/>
          <w:szCs w:val="20"/>
          <w:lang w:val="uk-UA"/>
        </w:rPr>
        <w:t>Тарифи на електроенергію, що відпускається населенню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0"/>
        <w:gridCol w:w="1126"/>
        <w:gridCol w:w="1139"/>
        <w:gridCol w:w="1126"/>
      </w:tblGrid>
      <w:tr w:rsidR="00B61F67" w:rsidRPr="00B61F67" w:rsidTr="00B61F67">
        <w:tc>
          <w:tcPr>
            <w:tcW w:w="3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Категорії споживачів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Тарифи на електроенергію, в копійках за 1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кВт·год</w:t>
            </w:r>
            <w:proofErr w:type="spellEnd"/>
          </w:p>
        </w:tc>
      </w:tr>
      <w:tr w:rsidR="00B61F67" w:rsidRPr="00B61F67" w:rsidTr="00B61F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67" w:rsidRPr="00B61F67" w:rsidRDefault="00B61F67" w:rsidP="00B6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ПДВ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 ПДВ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 Електроенергія, що відпускається: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rPr>
          <w:trHeight w:val="148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1.1. Населенню: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до 150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25,7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5,14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30,84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150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34,95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6,99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41,94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22,34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25,7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5,14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30,84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1.2. Населенню, яке проживає в сільській місцевості: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до 150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4,75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28,5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150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6,46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38,76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22,34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4,75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28,5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1.3. Населенню, яке проживає в житлових будинках (у тому числі в житлових будинках готельного типу, квартирах та гуртожитках), обладнаних у встановленому порядку кухонними електроплитами (у тому числі в сільській місцевості):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до 250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250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26,85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5,37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32,22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22,34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1.4. Населенню, яке проживає в житлових будинках (у тому числі в житлових будинках готельного типу, квартирах та гуртожитках), обладнаних у встановленому порядку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електроопалювальними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установками або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електроопалювальними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установками та кухонними електроплитами (у тому числі в сільській місцевості):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1.4.1. У період з 01 травня по 30 вересня (включно):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до 250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250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26,85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5,37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32,22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22,34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1.4.2. У період з 01 жовтня по 30 квітня (включно):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до 5000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5000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79,8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1.4.3. Для багатодітних, прийомних сімей та дитячих будинків </w:t>
            </w: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сімейного типу незалежно від обсягів споживання електроенергії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1.5. Населенню, яке проживає в багатоквартирних будинках, не газифікованих природним газом і в яких відсутні або не функціонують системи централізованого теплопостачання: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rPr>
          <w:trHeight w:val="150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1.5.1. У період з 01 травня по 30 вересня (включно):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до 250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250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26,85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5,37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32,22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800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22,34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134,04</w:t>
            </w:r>
          </w:p>
        </w:tc>
      </w:tr>
      <w:tr w:rsidR="00B61F67" w:rsidRPr="00B61F67" w:rsidTr="00B61F67">
        <w:trPr>
          <w:trHeight w:val="72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1.5.2. У період з 01 жовтня по 30 квітня (включно):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до 5000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 (включно)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rPr>
          <w:trHeight w:val="185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 обсяг, спожитий понад 5000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кВт∙год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електроенергії на місяць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79,8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95,76</w:t>
            </w:r>
          </w:p>
        </w:tc>
      </w:tr>
      <w:tr w:rsidR="00B61F67" w:rsidRPr="00B61F67" w:rsidTr="00B61F67">
        <w:trPr>
          <w:trHeight w:val="641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1.5.3. Для багатодітних, прийомних сімей та дитячих будинків сімейного типу незалежно від обсягів споживання електроенергії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1.6. Населенню, яке розраховується з енергопостачальною організацією за загальним розрахунковим засобом обліку та об’єднане шляхом створення юридичної особи, крім гуртожитків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34,95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6,99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41,94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1.7. Гуртожиткам (які підпадають під визначення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„населення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яке розраховується з енергопостачальною організацією за загальним розрахунковим засобом обліку та об’єднане шляхом створення юридичної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особи”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25,7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5,14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30,84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1.8. Гуртожиткам (які підпадають під визначення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„населення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яке розраховується з енергопостачальною організацією за загальним розрахунковим засобом обліку та об’єднане шляхом створення юридичної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особи”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) у сільській місцевості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4,75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28,5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1.9. Населенню, яке розраховується з енергопостачальною організацією за загальним розрахунковим засобом обліку та об’єднане шляхом створення юридичної особи і проживає в житлових будинках (у тому числі в житлових будинках готельного типу), обладнаних у встановленому порядку кухонними електроплитами та/або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електроопалювальними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установками (у тому числі в сільській місцевості), крім гуртожитків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26,85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5,37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32,22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1.10. Гуртожиткам (які підпадають під визначення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„населення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яке розраховується з енергопостачальною організацією за загальним розрахунковим засобом обліку та об’єднане шляхом створення юридичної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особи”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), що розташовані в будинках, обладнаних у встановленому порядку кухонними електроплитами та/або </w:t>
            </w:r>
            <w:proofErr w:type="spellStart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електроопалювальними</w:t>
            </w:r>
            <w:proofErr w:type="spellEnd"/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установками (у тому числі в сільській місцевості)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19,75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23,7</w:t>
            </w:r>
          </w:p>
        </w:tc>
      </w:tr>
      <w:tr w:rsidR="00B61F67" w:rsidRPr="00B61F67" w:rsidTr="00B61F67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2. Електроенергія, що відпускається споживачам, прирівняним до населення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34,95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6,99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67" w:rsidRPr="00B61F67" w:rsidRDefault="00B61F67" w:rsidP="00B6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41,94</w:t>
            </w:r>
          </w:p>
        </w:tc>
      </w:tr>
    </w:tbl>
    <w:p w:rsidR="00B61F67" w:rsidRPr="00B61F67" w:rsidRDefault="00B61F67" w:rsidP="00B6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F67" w:rsidRPr="00B61F67" w:rsidRDefault="00B61F67" w:rsidP="00B61F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Arial" w:eastAsia="Times New Roman" w:hAnsi="Arial" w:cs="Arial"/>
          <w:i/>
          <w:sz w:val="20"/>
          <w:lang w:val="uk-UA" w:eastAsia="ru-RU"/>
        </w:rPr>
        <w:t>Примітка.</w:t>
      </w:r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Електрична енергія, яка витрачається в багатоквартирних будинках та гуртожитках на технічні цілі (роботу ліфтів, насосів та замково-переговорних пристроїв, що належать власникам квартир багатоквартирного будинку на праві спільної власності) та освітлення дворів, східців і номерних знаків, відпускається за тарифом 34,95 коп. за 1 </w:t>
      </w:r>
      <w:proofErr w:type="spellStart"/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>кВт·год</w:t>
      </w:r>
      <w:proofErr w:type="spellEnd"/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(без ПДВ).</w:t>
      </w:r>
    </w:p>
    <w:p w:rsidR="00B61F67" w:rsidRPr="00B61F67" w:rsidRDefault="00B61F67" w:rsidP="00B61F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Електрична енергія, яка витрачається в багатоквартирних будинках та гуртожитках, розташованих у сільській місцевості, на технічні цілі (роботу ліфтів, насосів та замково-переговорних пристроїв, що належать власникам квартир багатоквартирного будинку на праві спільної власності) та освітлення дворів, східців і номерних знаків, відпускається за тарифом 32,3 коп. за 1 </w:t>
      </w:r>
      <w:proofErr w:type="spellStart"/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>кВт·год</w:t>
      </w:r>
      <w:proofErr w:type="spellEnd"/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(без ПДВ).</w:t>
      </w:r>
    </w:p>
    <w:p w:rsidR="00B61F67" w:rsidRPr="00B61F67" w:rsidRDefault="00B61F67" w:rsidP="00B61F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lastRenderedPageBreak/>
        <w:t xml:space="preserve">Електрична енергія, яка витрачається в дачних та дачно-будівельних кооперативах, садових товариствах, гаражно-будівельних кооперативах на технічні цілі (роботу насосів) та освітлення території, відпускається за тарифом 34,95 коп. за 1 </w:t>
      </w:r>
      <w:proofErr w:type="spellStart"/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>кВт·год</w:t>
      </w:r>
      <w:proofErr w:type="spellEnd"/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(без ПДВ).</w:t>
      </w:r>
    </w:p>
    <w:p w:rsidR="00B61F67" w:rsidRPr="00B61F67" w:rsidRDefault="00B61F67" w:rsidP="00B61F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67" w:rsidRPr="00B61F67" w:rsidRDefault="00B61F67" w:rsidP="00B6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Arial" w:eastAsia="Times New Roman" w:hAnsi="Arial" w:cs="Arial"/>
          <w:b/>
          <w:bCs/>
          <w:sz w:val="20"/>
          <w:lang w:val="uk-UA" w:eastAsia="ru-RU"/>
        </w:rPr>
        <w:t>Тарифи на електроенергію, що відпускається населенню</w:t>
      </w:r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, затверджені постановою Національної комісії, що здійснює державне регулювання у сфері енергетики, </w:t>
      </w:r>
      <w:hyperlink r:id="rId4" w:history="1"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від 23.04.2012 № 497</w:t>
        </w:r>
      </w:hyperlink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(із змінами, внесеними постановами НКРЕ </w:t>
      </w:r>
      <w:hyperlink r:id="rId5" w:anchor="n4" w:history="1"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від 15.06.2012 № 750,</w:t>
        </w:r>
      </w:hyperlink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hyperlink r:id="rId6" w:anchor="n2" w:history="1"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від 13.09.2012 № 1183,</w:t>
        </w:r>
      </w:hyperlink>
      <w:r w:rsidRPr="00B61F67">
        <w:rPr>
          <w:rFonts w:ascii="Arial" w:eastAsia="Times New Roman" w:hAnsi="Arial" w:cs="Arial"/>
          <w:color w:val="0000FF"/>
          <w:sz w:val="20"/>
          <w:szCs w:val="20"/>
          <w:lang w:val="uk-UA" w:eastAsia="ru-RU"/>
        </w:rPr>
        <w:t xml:space="preserve"> </w:t>
      </w:r>
      <w:hyperlink r:id="rId7" w:anchor="n14" w:history="1"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від</w:t>
        </w:r>
      </w:hyperlink>
      <w:hyperlink r:id="rId8" w:anchor="n14" w:history="1"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 xml:space="preserve"> 23.05.2014 № 749</w:t>
        </w:r>
      </w:hyperlink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, </w:t>
      </w:r>
      <w:hyperlink r:id="rId9" w:history="1"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постановою НКРЕКП від 23.10.2014 № 164</w:t>
        </w:r>
      </w:hyperlink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>).</w:t>
      </w:r>
    </w:p>
    <w:p w:rsidR="00B61F67" w:rsidRPr="00B61F67" w:rsidRDefault="00B61F67" w:rsidP="00B6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61F67" w:rsidRPr="00B61F67" w:rsidRDefault="00B61F67" w:rsidP="00B6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Arial" w:eastAsia="Times New Roman" w:hAnsi="Arial" w:cs="Arial"/>
          <w:bCs/>
          <w:sz w:val="20"/>
          <w:szCs w:val="20"/>
          <w:lang w:val="uk-UA" w:eastAsia="ru-RU"/>
        </w:rPr>
        <w:t xml:space="preserve">Порівняльна таблиця </w:t>
      </w:r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старих та нових </w:t>
      </w:r>
      <w:r w:rsidRPr="00B61F67">
        <w:rPr>
          <w:rFonts w:ascii="Arial" w:eastAsia="Times New Roman" w:hAnsi="Arial" w:cs="Arial"/>
          <w:bCs/>
          <w:sz w:val="20"/>
          <w:szCs w:val="20"/>
          <w:lang w:val="uk-UA" w:eastAsia="ru-RU"/>
        </w:rPr>
        <w:t>тарифів на електроенергію, що відпускається населенню, станом на 01.06.2014</w:t>
      </w:r>
      <w:r w:rsidRPr="00B61F67">
        <w:rPr>
          <w:rFonts w:ascii="Arial" w:eastAsia="Times New Roman" w:hAnsi="Arial" w:cs="Arial"/>
          <w:bCs/>
          <w:color w:val="0033AC"/>
          <w:sz w:val="20"/>
          <w:szCs w:val="20"/>
          <w:lang w:val="uk-UA" w:eastAsia="ru-RU"/>
        </w:rPr>
        <w:t xml:space="preserve"> </w:t>
      </w:r>
      <w:hyperlink r:id="rId10" w:history="1">
        <w:r w:rsidRPr="00B61F67">
          <w:rPr>
            <w:rFonts w:ascii="Arial" w:eastAsia="Times New Roman" w:hAnsi="Arial" w:cs="Arial"/>
            <w:bCs/>
            <w:color w:val="0000FF"/>
            <w:sz w:val="20"/>
            <w:u w:val="single"/>
            <w:lang w:val="uk-UA" w:eastAsia="ru-RU"/>
          </w:rPr>
          <w:t>(</w:t>
        </w:r>
        <w:proofErr w:type="spellStart"/>
        <w:r w:rsidRPr="00B61F67">
          <w:rPr>
            <w:rFonts w:ascii="Arial" w:eastAsia="Times New Roman" w:hAnsi="Arial" w:cs="Arial"/>
            <w:bCs/>
            <w:color w:val="0000FF"/>
            <w:sz w:val="20"/>
            <w:u w:val="single"/>
            <w:lang w:val="uk-UA" w:eastAsia="ru-RU"/>
          </w:rPr>
          <w:t>див.тут</w:t>
        </w:r>
        <w:proofErr w:type="spellEnd"/>
        <w:r w:rsidRPr="00B61F67">
          <w:rPr>
            <w:rFonts w:ascii="Arial" w:eastAsia="Times New Roman" w:hAnsi="Arial" w:cs="Arial"/>
            <w:bCs/>
            <w:color w:val="0000FF"/>
            <w:sz w:val="20"/>
            <w:u w:val="single"/>
            <w:lang w:val="uk-UA" w:eastAsia="ru-RU"/>
          </w:rPr>
          <w:t>)</w:t>
        </w:r>
      </w:hyperlink>
      <w:r w:rsidRPr="00B61F67">
        <w:rPr>
          <w:rFonts w:ascii="Arial" w:eastAsia="Times New Roman" w:hAnsi="Arial" w:cs="Arial"/>
          <w:bCs/>
          <w:color w:val="0033AC"/>
          <w:sz w:val="20"/>
          <w:szCs w:val="20"/>
          <w:lang w:val="uk-UA" w:eastAsia="ru-RU"/>
        </w:rPr>
        <w:t>.</w:t>
      </w:r>
    </w:p>
    <w:p w:rsidR="00B61F67" w:rsidRPr="00B61F67" w:rsidRDefault="00B61F67" w:rsidP="00B6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61F67" w:rsidRPr="00B61F67" w:rsidRDefault="00B61F67" w:rsidP="00B6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1F67">
        <w:rPr>
          <w:rFonts w:ascii="Arial" w:eastAsia="Times New Roman" w:hAnsi="Arial" w:cs="Arial"/>
          <w:b/>
          <w:bCs/>
          <w:sz w:val="20"/>
          <w:lang w:val="uk-UA" w:eastAsia="ru-RU"/>
        </w:rPr>
        <w:t>Порядок застосування тарифів на електроенергію</w:t>
      </w:r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затверджений постановою Національної комісії, що здійснює державне регулювання у сфері енергетики, </w:t>
      </w:r>
      <w:hyperlink r:id="rId11" w:history="1"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від 23.04.2012 № 498.</w:t>
        </w:r>
      </w:hyperlink>
    </w:p>
    <w:p w:rsidR="00B61F67" w:rsidRPr="00B61F67" w:rsidRDefault="00B61F67" w:rsidP="00B6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1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61F67" w:rsidRPr="00B61F67" w:rsidRDefault="00B61F67" w:rsidP="00B6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Приклади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орієнтовних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розрахунків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населення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за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спожиту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електроенергію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за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наявності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двозонних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тризонних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лічильників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gram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до</w:t>
        </w:r>
        <w:proofErr w:type="gram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постанов НКРЕ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23.04.2012 № 497 (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із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змінами</w:t>
        </w:r>
        <w:proofErr w:type="spellEnd"/>
        <w:r w:rsidRPr="00B61F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) та № 498)</w:t>
        </w:r>
      </w:hyperlink>
    </w:p>
    <w:p w:rsidR="00B61F67" w:rsidRPr="00B61F67" w:rsidRDefault="00B61F67" w:rsidP="00B6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67" w:rsidRPr="00B61F67" w:rsidRDefault="00B61F67" w:rsidP="00B6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Кабінет Міністрів України </w:t>
      </w:r>
      <w:hyperlink r:id="rId13" w:history="1"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 xml:space="preserve">постановою від 21.05.2014 № 149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„Про</w:t>
        </w:r>
        <w:proofErr w:type="spellEnd"/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 xml:space="preserve"> вдосконалення державної політики регулювання тарифів на електричну енергію, що відпускається населенню, а також іншим споживачам, для яких застосовуються такі </w:t>
        </w:r>
        <w:proofErr w:type="spellStart"/>
        <w:r w:rsidRPr="00B61F67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тарифи”</w:t>
        </w:r>
        <w:proofErr w:type="spellEnd"/>
      </w:hyperlink>
      <w:r w:rsidRPr="00B61F6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рекомендував Національній комісії, що здійснює державне регулювання у сфері енергетики, з 01.06.2014 встановити тариф на електричну енергію, що відпускається населенню.</w:t>
      </w:r>
    </w:p>
    <w:p w:rsidR="00B61F67" w:rsidRPr="00B61F67" w:rsidRDefault="00B61F67"/>
    <w:sectPr w:rsidR="00B61F67" w:rsidRPr="00B61F67" w:rsidSect="0077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F67"/>
    <w:rsid w:val="00774122"/>
    <w:rsid w:val="00B6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1F67"/>
    <w:rPr>
      <w:i/>
      <w:iCs/>
    </w:rPr>
  </w:style>
  <w:style w:type="character" w:styleId="a5">
    <w:name w:val="Hyperlink"/>
    <w:basedOn w:val="a0"/>
    <w:uiPriority w:val="99"/>
    <w:semiHidden/>
    <w:unhideWhenUsed/>
    <w:rsid w:val="00B61F67"/>
    <w:rPr>
      <w:color w:val="0000FF"/>
      <w:u w:val="single"/>
    </w:rPr>
  </w:style>
  <w:style w:type="character" w:styleId="a6">
    <w:name w:val="Strong"/>
    <w:basedOn w:val="a0"/>
    <w:uiPriority w:val="22"/>
    <w:qFormat/>
    <w:rsid w:val="00B61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566-14/paran14" TargetMode="External"/><Relationship Id="rId13" Type="http://schemas.openxmlformats.org/officeDocument/2006/relationships/hyperlink" Target="http://zakon2.rada.gov.ua/laws/show/149-2014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0566-14/paran14" TargetMode="External"/><Relationship Id="rId12" Type="http://schemas.openxmlformats.org/officeDocument/2006/relationships/hyperlink" Target="http://www3.nerc.gov.ua/index.php?news=2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583-12/paran2" TargetMode="External"/><Relationship Id="rId11" Type="http://schemas.openxmlformats.org/officeDocument/2006/relationships/hyperlink" Target="http://zakon2.rada.gov.ua/laws/show/z0599-12" TargetMode="External"/><Relationship Id="rId5" Type="http://schemas.openxmlformats.org/officeDocument/2006/relationships/hyperlink" Target="http://zakon4.rada.gov.ua/laws/show/z0996-12/paran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3.nerc.gov.ua/index.php?news=3814" TargetMode="External"/><Relationship Id="rId4" Type="http://schemas.openxmlformats.org/officeDocument/2006/relationships/hyperlink" Target="http://zakon4.rada.gov.ua/laws/show/z0598-12" TargetMode="External"/><Relationship Id="rId9" Type="http://schemas.openxmlformats.org/officeDocument/2006/relationships/hyperlink" Target="http://www.nerc.gov.ua/index.php?id=122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6902</Characters>
  <Application>Microsoft Office Word</Application>
  <DocSecurity>0</DocSecurity>
  <Lines>57</Lines>
  <Paragraphs>16</Paragraphs>
  <ScaleCrop>false</ScaleCrop>
  <Company>1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2015-04-30T15:34:00Z</dcterms:created>
  <dcterms:modified xsi:type="dcterms:W3CDTF">2015-04-30T15:36:00Z</dcterms:modified>
</cp:coreProperties>
</file>