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51F" w:rsidRPr="00A8351F" w:rsidRDefault="00A8351F" w:rsidP="00A8351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8351F">
        <w:rPr>
          <w:rFonts w:ascii="Arial" w:eastAsia="Times New Roman" w:hAnsi="Arial" w:cs="Arial"/>
          <w:b/>
          <w:bCs/>
          <w:color w:val="000000"/>
          <w:sz w:val="27"/>
          <w:lang w:val="uk-UA" w:eastAsia="ru-RU"/>
        </w:rPr>
        <w:t>СТРУКТУРА</w:t>
      </w:r>
    </w:p>
    <w:p w:rsidR="00A8351F" w:rsidRPr="00A8351F" w:rsidRDefault="00A8351F" w:rsidP="00A8351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8351F">
        <w:rPr>
          <w:rFonts w:ascii="Arial" w:eastAsia="Times New Roman" w:hAnsi="Arial" w:cs="Arial"/>
          <w:b/>
          <w:bCs/>
          <w:color w:val="000000"/>
          <w:sz w:val="27"/>
          <w:lang w:val="uk-UA" w:eastAsia="ru-RU"/>
        </w:rPr>
        <w:t>роздрібних цін на природний газ, що використовується для потреб населення,</w:t>
      </w:r>
      <w:r w:rsidRPr="00A8351F">
        <w:rPr>
          <w:rFonts w:ascii="Arial" w:eastAsia="Times New Roman" w:hAnsi="Arial" w:cs="Arial"/>
          <w:b/>
          <w:bCs/>
          <w:color w:val="000000"/>
          <w:sz w:val="27"/>
          <w:lang w:eastAsia="ru-RU"/>
        </w:rPr>
        <w:t> </w:t>
      </w:r>
    </w:p>
    <w:p w:rsidR="00A8351F" w:rsidRPr="00A8351F" w:rsidRDefault="00A8351F" w:rsidP="00A8351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spellStart"/>
      <w:r w:rsidRPr="00A8351F">
        <w:rPr>
          <w:rFonts w:ascii="Arial" w:eastAsia="Times New Roman" w:hAnsi="Arial" w:cs="Arial"/>
          <w:b/>
          <w:bCs/>
          <w:color w:val="000000"/>
          <w:sz w:val="27"/>
          <w:lang w:eastAsia="ru-RU"/>
        </w:rPr>
        <w:t>затверджених</w:t>
      </w:r>
      <w:proofErr w:type="spellEnd"/>
      <w:r w:rsidRPr="00A8351F">
        <w:rPr>
          <w:rFonts w:ascii="Arial" w:eastAsia="Times New Roman" w:hAnsi="Arial" w:cs="Arial"/>
          <w:b/>
          <w:bCs/>
          <w:color w:val="000000"/>
          <w:sz w:val="27"/>
          <w:lang w:val="uk-UA" w:eastAsia="ru-RU"/>
        </w:rPr>
        <w:t xml:space="preserve"> постановою Національної комісії, що здійснює державне регулювання </w:t>
      </w:r>
      <w:proofErr w:type="gramStart"/>
      <w:r w:rsidRPr="00A8351F">
        <w:rPr>
          <w:rFonts w:ascii="Arial" w:eastAsia="Times New Roman" w:hAnsi="Arial" w:cs="Arial"/>
          <w:b/>
          <w:bCs/>
          <w:color w:val="000000"/>
          <w:sz w:val="27"/>
          <w:lang w:val="uk-UA" w:eastAsia="ru-RU"/>
        </w:rPr>
        <w:t>у</w:t>
      </w:r>
      <w:proofErr w:type="gramEnd"/>
      <w:r w:rsidRPr="00A8351F">
        <w:rPr>
          <w:rFonts w:ascii="Arial" w:eastAsia="Times New Roman" w:hAnsi="Arial" w:cs="Arial"/>
          <w:b/>
          <w:bCs/>
          <w:color w:val="000000"/>
          <w:sz w:val="27"/>
          <w:lang w:val="uk-UA" w:eastAsia="ru-RU"/>
        </w:rPr>
        <w:t xml:space="preserve"> сферах енергетики та комунальних послуг,</w:t>
      </w:r>
      <w:hyperlink r:id="rId4" w:history="1">
        <w:r w:rsidRPr="00A8351F">
          <w:rPr>
            <w:rFonts w:ascii="Arial" w:eastAsia="Times New Roman" w:hAnsi="Arial" w:cs="Arial"/>
            <w:b/>
            <w:bCs/>
            <w:color w:val="0000FF"/>
            <w:sz w:val="27"/>
            <w:u w:val="single"/>
            <w:lang w:val="uk-UA" w:eastAsia="ru-RU"/>
          </w:rPr>
          <w:t>від 03.03.2015 № 583</w:t>
        </w:r>
      </w:hyperlink>
      <w:r w:rsidRPr="00A8351F">
        <w:rPr>
          <w:rFonts w:ascii="Arial" w:eastAsia="Times New Roman" w:hAnsi="Arial" w:cs="Arial"/>
          <w:b/>
          <w:bCs/>
          <w:color w:val="000000"/>
          <w:sz w:val="27"/>
          <w:lang w:val="uk-UA" w:eastAsia="ru-RU"/>
        </w:rPr>
        <w:t>,</w:t>
      </w:r>
    </w:p>
    <w:p w:rsidR="00A8351F" w:rsidRPr="00A8351F" w:rsidRDefault="00A8351F" w:rsidP="00A8351F">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8351F">
        <w:rPr>
          <w:rFonts w:ascii="Arial" w:eastAsia="Times New Roman" w:hAnsi="Arial" w:cs="Arial"/>
          <w:b/>
          <w:bCs/>
          <w:color w:val="000000"/>
          <w:sz w:val="27"/>
          <w:lang w:val="uk-UA" w:eastAsia="ru-RU"/>
        </w:rPr>
        <w:t>з 1 квітня 2015 року</w:t>
      </w:r>
      <w:r w:rsidRPr="00A8351F">
        <w:rPr>
          <w:rFonts w:ascii="Arial" w:eastAsia="Times New Roman" w:hAnsi="Arial" w:cs="Arial"/>
          <w:color w:val="000000"/>
          <w:sz w:val="20"/>
          <w:szCs w:val="20"/>
          <w:lang w:val="uk-UA" w:eastAsia="ru-RU"/>
        </w:rPr>
        <w:t xml:space="preserve"> </w:t>
      </w:r>
      <w:r>
        <w:rPr>
          <w:rFonts w:ascii="Arial" w:eastAsia="Times New Roman" w:hAnsi="Arial" w:cs="Arial"/>
          <w:color w:val="000000"/>
          <w:sz w:val="20"/>
          <w:szCs w:val="20"/>
          <w:lang w:eastAsia="ru-RU"/>
        </w:rPr>
        <w:tab/>
      </w:r>
      <w:r>
        <w:rPr>
          <w:rFonts w:ascii="Arial" w:eastAsia="Times New Roman" w:hAnsi="Arial" w:cs="Arial"/>
          <w:color w:val="000000"/>
          <w:sz w:val="20"/>
          <w:szCs w:val="20"/>
          <w:lang w:eastAsia="ru-RU"/>
        </w:rPr>
        <w:tab/>
      </w:r>
      <w:proofErr w:type="spellStart"/>
      <w:r w:rsidRPr="00A8351F">
        <w:rPr>
          <w:rFonts w:ascii="Arial" w:eastAsia="Times New Roman" w:hAnsi="Arial" w:cs="Arial"/>
          <w:color w:val="000000"/>
          <w:sz w:val="20"/>
          <w:szCs w:val="20"/>
          <w:lang w:val="uk-UA" w:eastAsia="ru-RU"/>
        </w:rPr>
        <w:t>грн</w:t>
      </w:r>
      <w:proofErr w:type="spellEnd"/>
      <w:r w:rsidRPr="00A8351F">
        <w:rPr>
          <w:rFonts w:ascii="Arial" w:eastAsia="Times New Roman" w:hAnsi="Arial" w:cs="Arial"/>
          <w:color w:val="000000"/>
          <w:sz w:val="20"/>
          <w:szCs w:val="20"/>
          <w:lang w:val="uk-UA" w:eastAsia="ru-RU"/>
        </w:rPr>
        <w:t xml:space="preserve"> за 1000 м</w:t>
      </w:r>
      <w:r w:rsidRPr="00A8351F">
        <w:rPr>
          <w:rFonts w:ascii="Arial" w:eastAsia="Times New Roman" w:hAnsi="Arial" w:cs="Arial"/>
          <w:color w:val="000000"/>
          <w:sz w:val="20"/>
          <w:szCs w:val="20"/>
          <w:vertAlign w:val="superscript"/>
          <w:lang w:val="uk-UA" w:eastAsia="ru-RU"/>
        </w:rPr>
        <w:t>3</w:t>
      </w:r>
    </w:p>
    <w:tbl>
      <w:tblPr>
        <w:tblW w:w="0" w:type="auto"/>
        <w:tblCellMar>
          <w:left w:w="0" w:type="dxa"/>
          <w:right w:w="0" w:type="dxa"/>
        </w:tblCellMar>
        <w:tblLook w:val="04A0"/>
      </w:tblPr>
      <w:tblGrid>
        <w:gridCol w:w="3137"/>
        <w:gridCol w:w="1496"/>
        <w:gridCol w:w="1345"/>
        <w:gridCol w:w="1810"/>
        <w:gridCol w:w="2079"/>
        <w:gridCol w:w="2673"/>
        <w:gridCol w:w="828"/>
        <w:gridCol w:w="1418"/>
      </w:tblGrid>
      <w:tr w:rsidR="00A8351F" w:rsidRPr="00A8351F" w:rsidTr="00A8351F">
        <w:trPr>
          <w:trHeight w:val="284"/>
        </w:trPr>
        <w:tc>
          <w:tcPr>
            <w:tcW w:w="1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Вид          </w:t>
            </w:r>
            <w:r w:rsidRPr="00A8351F">
              <w:rPr>
                <w:rFonts w:ascii="Arial" w:eastAsia="Times New Roman" w:hAnsi="Arial" w:cs="Arial"/>
                <w:sz w:val="20"/>
                <w:lang w:val="uk-UA" w:eastAsia="ru-RU"/>
              </w:rPr>
              <w:t> </w:t>
            </w:r>
            <w:r w:rsidRPr="00A8351F">
              <w:rPr>
                <w:rFonts w:ascii="Arial" w:eastAsia="Times New Roman" w:hAnsi="Arial" w:cs="Arial"/>
                <w:sz w:val="20"/>
                <w:szCs w:val="20"/>
                <w:lang w:val="uk-UA" w:eastAsia="ru-RU"/>
              </w:rPr>
              <w:t>споживання            природного           газу                                                                                                 </w:t>
            </w:r>
            <w:r w:rsidRPr="00A8351F">
              <w:rPr>
                <w:rFonts w:ascii="Arial" w:eastAsia="Times New Roman" w:hAnsi="Arial" w:cs="Arial"/>
                <w:sz w:val="20"/>
                <w:lang w:val="uk-UA" w:eastAsia="ru-RU"/>
              </w:rPr>
              <w:t> </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A8351F">
              <w:rPr>
                <w:rFonts w:ascii="Arial" w:eastAsia="Times New Roman" w:hAnsi="Arial" w:cs="Arial"/>
                <w:sz w:val="20"/>
                <w:szCs w:val="20"/>
                <w:lang w:val="uk-UA" w:eastAsia="ru-RU"/>
              </w:rPr>
              <w:t>Розрахун</w:t>
            </w:r>
            <w:proofErr w:type="spellEnd"/>
            <w:r w:rsidRPr="00A8351F">
              <w:rPr>
                <w:rFonts w:ascii="Arial" w:eastAsia="Times New Roman" w:hAnsi="Arial" w:cs="Arial"/>
                <w:sz w:val="20"/>
                <w:szCs w:val="20"/>
                <w:lang w:eastAsia="ru-RU"/>
              </w:rPr>
              <w:t>- </w:t>
            </w:r>
            <w:r w:rsidRPr="00A8351F">
              <w:rPr>
                <w:rFonts w:ascii="Arial" w:eastAsia="Times New Roman" w:hAnsi="Arial" w:cs="Arial"/>
                <w:sz w:val="20"/>
                <w:lang w:eastAsia="ru-RU"/>
              </w:rPr>
              <w:t> </w:t>
            </w:r>
            <w:r w:rsidRPr="00A8351F">
              <w:rPr>
                <w:rFonts w:ascii="Arial" w:eastAsia="Times New Roman" w:hAnsi="Arial" w:cs="Arial"/>
                <w:sz w:val="20"/>
                <w:szCs w:val="20"/>
                <w:lang w:eastAsia="ru-RU"/>
              </w:rPr>
              <w:t>  к</w:t>
            </w:r>
            <w:proofErr w:type="spellStart"/>
            <w:r w:rsidRPr="00A8351F">
              <w:rPr>
                <w:rFonts w:ascii="Arial" w:eastAsia="Times New Roman" w:hAnsi="Arial" w:cs="Arial"/>
                <w:sz w:val="20"/>
                <w:szCs w:val="20"/>
                <w:lang w:val="uk-UA" w:eastAsia="ru-RU"/>
              </w:rPr>
              <w:t>ова</w:t>
            </w:r>
            <w:proofErr w:type="spellEnd"/>
            <w:r w:rsidRPr="00A8351F">
              <w:rPr>
                <w:rFonts w:ascii="Arial" w:eastAsia="Times New Roman" w:hAnsi="Arial" w:cs="Arial"/>
                <w:sz w:val="20"/>
                <w:szCs w:val="20"/>
                <w:lang w:val="uk-UA" w:eastAsia="ru-RU"/>
              </w:rPr>
              <w:t xml:space="preserve"> ціна природного газу як товару із урахуванням витрат НАК «</w:t>
            </w:r>
            <w:proofErr w:type="spellStart"/>
            <w:r w:rsidRPr="00A8351F">
              <w:rPr>
                <w:rFonts w:ascii="Arial" w:eastAsia="Times New Roman" w:hAnsi="Arial" w:cs="Arial"/>
                <w:sz w:val="20"/>
                <w:szCs w:val="20"/>
                <w:lang w:val="uk-UA" w:eastAsia="ru-RU"/>
              </w:rPr>
              <w:t>Нафтогаз</w:t>
            </w:r>
            <w:proofErr w:type="spellEnd"/>
            <w:r w:rsidRPr="00A8351F">
              <w:rPr>
                <w:rFonts w:ascii="Arial" w:eastAsia="Times New Roman" w:hAnsi="Arial" w:cs="Arial"/>
                <w:sz w:val="20"/>
                <w:szCs w:val="20"/>
                <w:lang w:val="uk-UA" w:eastAsia="ru-RU"/>
              </w:rPr>
              <w:t xml:space="preserve"> України»</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Збір у вигляді цільової надбавки до діючого тарифу на природний газ для споживачів усіх форм власності</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A8351F">
              <w:rPr>
                <w:rFonts w:ascii="Arial" w:eastAsia="Times New Roman" w:hAnsi="Arial" w:cs="Arial"/>
                <w:sz w:val="20"/>
                <w:szCs w:val="20"/>
                <w:lang w:val="uk-UA" w:eastAsia="ru-RU"/>
              </w:rPr>
              <w:t>Розрахун</w:t>
            </w:r>
            <w:proofErr w:type="spellEnd"/>
            <w:r w:rsidRPr="00A8351F">
              <w:rPr>
                <w:rFonts w:ascii="Arial" w:eastAsia="Times New Roman" w:hAnsi="Arial" w:cs="Arial"/>
                <w:sz w:val="20"/>
                <w:szCs w:val="20"/>
                <w:lang w:eastAsia="ru-RU"/>
              </w:rPr>
              <w:t> </w:t>
            </w:r>
            <w:proofErr w:type="spellStart"/>
            <w:r w:rsidRPr="00A8351F">
              <w:rPr>
                <w:rFonts w:ascii="Arial" w:eastAsia="Times New Roman" w:hAnsi="Arial" w:cs="Arial"/>
                <w:sz w:val="20"/>
                <w:szCs w:val="20"/>
                <w:lang w:val="uk-UA" w:eastAsia="ru-RU"/>
              </w:rPr>
              <w:t>ковий</w:t>
            </w:r>
            <w:proofErr w:type="spellEnd"/>
            <w:r w:rsidRPr="00A8351F">
              <w:rPr>
                <w:rFonts w:ascii="Arial" w:eastAsia="Times New Roman" w:hAnsi="Arial" w:cs="Arial"/>
                <w:sz w:val="20"/>
                <w:szCs w:val="20"/>
                <w:lang w:val="uk-UA" w:eastAsia="ru-RU"/>
              </w:rPr>
              <w:t xml:space="preserve"> середній тариф на транспортування природного газу магістральними трубопроводами</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100" w:beforeAutospacing="1" w:after="100" w:afterAutospacing="1" w:line="240" w:lineRule="auto"/>
              <w:ind w:right="-39"/>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Середньозважений тариф на транспортування природного газу розподільними трубопроводами</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100" w:beforeAutospacing="1" w:after="100" w:afterAutospacing="1" w:line="240" w:lineRule="auto"/>
              <w:ind w:right="-54" w:firstLine="3"/>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Середньозважений</w:t>
            </w:r>
            <w:r w:rsidRPr="00A8351F">
              <w:rPr>
                <w:rFonts w:ascii="Arial" w:eastAsia="Times New Roman" w:hAnsi="Arial" w:cs="Arial"/>
                <w:sz w:val="20"/>
                <w:szCs w:val="20"/>
                <w:lang w:eastAsia="ru-RU"/>
              </w:rPr>
              <w:t>  </w:t>
            </w:r>
            <w:r w:rsidRPr="00A8351F">
              <w:rPr>
                <w:rFonts w:ascii="Arial" w:eastAsia="Times New Roman" w:hAnsi="Arial" w:cs="Arial"/>
                <w:sz w:val="20"/>
                <w:szCs w:val="20"/>
                <w:lang w:val="uk-UA" w:eastAsia="ru-RU"/>
              </w:rPr>
              <w:t>тариф на постачання природного газу</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ПДВ</w:t>
            </w:r>
          </w:p>
        </w:tc>
        <w:tc>
          <w:tcPr>
            <w:tcW w:w="500" w:type="pct"/>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rsidR="00A8351F" w:rsidRPr="00A8351F" w:rsidRDefault="00A8351F" w:rsidP="00A835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Роздрібна ціна природного газу для потреб населення</w:t>
            </w:r>
          </w:p>
        </w:tc>
      </w:tr>
      <w:tr w:rsidR="00A8351F" w:rsidRPr="00A8351F" w:rsidTr="00A8351F">
        <w:trPr>
          <w:trHeight w:val="670"/>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100" w:after="100" w:line="300" w:lineRule="atLeast"/>
              <w:rPr>
                <w:rFonts w:ascii="Times New Roman" w:eastAsia="Times New Roman" w:hAnsi="Times New Roman" w:cs="Times New Roman"/>
                <w:sz w:val="24"/>
                <w:szCs w:val="24"/>
                <w:lang w:eastAsia="ru-RU"/>
              </w:rPr>
            </w:pPr>
            <w:r w:rsidRPr="00A8351F">
              <w:rPr>
                <w:rFonts w:ascii="Arial" w:eastAsia="Times New Roman" w:hAnsi="Arial" w:cs="Arial"/>
                <w:b/>
                <w:bCs/>
                <w:sz w:val="20"/>
                <w:lang w:val="uk-UA" w:eastAsia="ru-RU"/>
              </w:rPr>
              <w:t>Для приготування їжі та/або підігріву води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100" w:after="100" w:afterAutospacing="1"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5041,8</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100" w:after="100" w:afterAutospacing="1"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201,7</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100" w:after="100" w:afterAutospacing="1"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294,4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100" w:after="100" w:afterAutospacing="1"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361,8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100" w:after="100" w:afterAutospacing="1"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90,3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100" w:after="100" w:afterAutospacing="1"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1198,0</w:t>
            </w:r>
          </w:p>
        </w:tc>
        <w:tc>
          <w:tcPr>
            <w:tcW w:w="500" w:type="pct"/>
            <w:tcBorders>
              <w:top w:val="nil"/>
              <w:left w:val="nil"/>
              <w:bottom w:val="single" w:sz="8" w:space="0" w:color="auto"/>
              <w:right w:val="single" w:sz="8" w:space="0" w:color="auto"/>
            </w:tcBorders>
            <w:shd w:val="clear" w:color="auto" w:fill="FFFF99"/>
            <w:tcMar>
              <w:top w:w="0" w:type="dxa"/>
              <w:left w:w="108" w:type="dxa"/>
              <w:bottom w:w="0" w:type="dxa"/>
              <w:right w:w="108" w:type="dxa"/>
            </w:tcMar>
            <w:hideMark/>
          </w:tcPr>
          <w:p w:rsidR="00A8351F" w:rsidRPr="00A8351F" w:rsidRDefault="00A8351F" w:rsidP="00A8351F">
            <w:pPr>
              <w:spacing w:before="100" w:after="100" w:afterAutospacing="1"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7188,0</w:t>
            </w:r>
          </w:p>
        </w:tc>
      </w:tr>
      <w:tr w:rsidR="00A8351F" w:rsidRPr="00A8351F" w:rsidTr="00A8351F">
        <w:trPr>
          <w:trHeight w:val="284"/>
        </w:trPr>
        <w:tc>
          <w:tcPr>
            <w:tcW w:w="3550" w:type="pct"/>
            <w:gridSpan w:val="5"/>
            <w:tcBorders>
              <w:top w:val="nil"/>
              <w:left w:val="single" w:sz="8" w:space="0" w:color="auto"/>
              <w:bottom w:val="single" w:sz="8" w:space="0" w:color="auto"/>
              <w:right w:val="nil"/>
            </w:tcBorders>
            <w:tcMar>
              <w:top w:w="0" w:type="dxa"/>
              <w:left w:w="108" w:type="dxa"/>
              <w:bottom w:w="0" w:type="dxa"/>
              <w:right w:w="108" w:type="dxa"/>
            </w:tcMar>
            <w:hideMark/>
          </w:tcPr>
          <w:p w:rsidR="00A8351F" w:rsidRPr="00A8351F" w:rsidRDefault="00A8351F" w:rsidP="00A8351F">
            <w:pPr>
              <w:spacing w:before="100" w:after="100" w:line="300" w:lineRule="atLeast"/>
              <w:rPr>
                <w:rFonts w:ascii="Times New Roman" w:eastAsia="Times New Roman" w:hAnsi="Times New Roman" w:cs="Times New Roman"/>
                <w:sz w:val="24"/>
                <w:szCs w:val="24"/>
                <w:lang w:eastAsia="ru-RU"/>
              </w:rPr>
            </w:pPr>
            <w:r w:rsidRPr="00A8351F">
              <w:rPr>
                <w:rFonts w:ascii="Arial" w:eastAsia="Times New Roman" w:hAnsi="Arial" w:cs="Arial"/>
                <w:b/>
                <w:bCs/>
                <w:sz w:val="20"/>
                <w:lang w:val="uk-UA" w:eastAsia="ru-RU"/>
              </w:rPr>
              <w:t>Для індивідуального опалення або комплексного споживання</w:t>
            </w:r>
            <w:r w:rsidRPr="00A8351F">
              <w:rPr>
                <w:rFonts w:ascii="Times New Roman" w:eastAsia="Times New Roman" w:hAnsi="Times New Roman" w:cs="Times New Roman"/>
                <w:b/>
                <w:bCs/>
                <w:sz w:val="24"/>
                <w:szCs w:val="24"/>
                <w:lang w:eastAsia="ru-RU"/>
              </w:rPr>
              <w:t> </w:t>
            </w:r>
            <w:r w:rsidRPr="00A8351F">
              <w:rPr>
                <w:rFonts w:ascii="Arial" w:eastAsia="Times New Roman" w:hAnsi="Arial" w:cs="Arial"/>
                <w:b/>
                <w:bCs/>
                <w:sz w:val="20"/>
                <w:lang w:eastAsia="ru-RU"/>
              </w:rPr>
              <w:t> </w:t>
            </w:r>
            <w:r w:rsidRPr="00A8351F">
              <w:rPr>
                <w:rFonts w:ascii="Arial" w:eastAsia="Times New Roman" w:hAnsi="Arial" w:cs="Arial"/>
                <w:b/>
                <w:bCs/>
                <w:sz w:val="20"/>
                <w:lang w:val="uk-UA" w:eastAsia="ru-RU"/>
              </w:rPr>
              <w:t>(індивідуальне опалення, приготування їжі та/або підігріву води):</w:t>
            </w:r>
            <w:r w:rsidRPr="00A8351F">
              <w:rPr>
                <w:rFonts w:ascii="Times New Roman" w:eastAsia="Times New Roman" w:hAnsi="Times New Roman" w:cs="Times New Roman"/>
                <w:b/>
                <w:bCs/>
                <w:sz w:val="24"/>
                <w:szCs w:val="24"/>
                <w:lang w:eastAsia="ru-RU"/>
              </w:rPr>
              <w:t> </w:t>
            </w:r>
          </w:p>
        </w:tc>
        <w:tc>
          <w:tcPr>
            <w:tcW w:w="14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100" w:after="100" w:line="240" w:lineRule="auto"/>
              <w:rPr>
                <w:rFonts w:ascii="Times New Roman" w:eastAsia="Times New Roman" w:hAnsi="Times New Roman" w:cs="Times New Roman"/>
                <w:sz w:val="24"/>
                <w:szCs w:val="24"/>
                <w:lang w:eastAsia="ru-RU"/>
              </w:rPr>
            </w:pPr>
            <w:r w:rsidRPr="00A8351F">
              <w:rPr>
                <w:rFonts w:ascii="Arial" w:eastAsia="Times New Roman" w:hAnsi="Arial" w:cs="Arial"/>
                <w:b/>
                <w:bCs/>
                <w:sz w:val="20"/>
                <w:lang w:eastAsia="ru-RU"/>
              </w:rPr>
              <w:t> </w:t>
            </w:r>
          </w:p>
        </w:tc>
      </w:tr>
      <w:tr w:rsidR="00A8351F" w:rsidRPr="00A8351F" w:rsidTr="00A8351F">
        <w:trPr>
          <w:trHeight w:val="284"/>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rPr>
                <w:rFonts w:ascii="Times New Roman" w:eastAsia="Times New Roman" w:hAnsi="Times New Roman" w:cs="Times New Roman"/>
                <w:sz w:val="24"/>
                <w:szCs w:val="24"/>
                <w:lang w:eastAsia="ru-RU"/>
              </w:rPr>
            </w:pPr>
            <w:proofErr w:type="spellStart"/>
            <w:r w:rsidRPr="00A8351F">
              <w:rPr>
                <w:rFonts w:ascii="Arial" w:eastAsia="Times New Roman" w:hAnsi="Arial" w:cs="Arial"/>
                <w:sz w:val="20"/>
                <w:szCs w:val="20"/>
                <w:lang w:eastAsia="ru-RU"/>
              </w:rPr>
              <w:t>з</w:t>
            </w:r>
            <w:proofErr w:type="spellEnd"/>
            <w:r w:rsidRPr="00A8351F">
              <w:rPr>
                <w:rFonts w:ascii="Arial" w:eastAsia="Times New Roman" w:hAnsi="Arial" w:cs="Arial"/>
                <w:sz w:val="20"/>
                <w:lang w:eastAsia="ru-RU"/>
              </w:rPr>
              <w:t> </w:t>
            </w:r>
            <w:r w:rsidRPr="00A8351F">
              <w:rPr>
                <w:rFonts w:ascii="Arial" w:eastAsia="Times New Roman" w:hAnsi="Arial" w:cs="Arial"/>
                <w:sz w:val="20"/>
                <w:szCs w:val="20"/>
                <w:lang w:val="uk-UA" w:eastAsia="ru-RU"/>
              </w:rPr>
              <w:t>1 травня по</w:t>
            </w:r>
            <w:r w:rsidRPr="00A8351F">
              <w:rPr>
                <w:rFonts w:ascii="Arial" w:eastAsia="Times New Roman" w:hAnsi="Arial" w:cs="Arial"/>
                <w:sz w:val="20"/>
                <w:lang w:val="uk-UA" w:eastAsia="ru-RU"/>
              </w:rPr>
              <w:t> </w:t>
            </w:r>
            <w:r w:rsidRPr="00A8351F">
              <w:rPr>
                <w:rFonts w:ascii="Arial" w:eastAsia="Times New Roman" w:hAnsi="Arial" w:cs="Arial"/>
                <w:sz w:val="20"/>
                <w:szCs w:val="20"/>
                <w:lang w:val="uk-UA" w:eastAsia="ru-RU"/>
              </w:rPr>
              <w:t>30</w:t>
            </w:r>
            <w:r w:rsidRPr="00A8351F">
              <w:rPr>
                <w:rFonts w:ascii="Arial" w:eastAsia="Times New Roman" w:hAnsi="Arial" w:cs="Arial"/>
                <w:sz w:val="20"/>
                <w:lang w:val="uk-UA" w:eastAsia="ru-RU"/>
              </w:rPr>
              <w:t> </w:t>
            </w:r>
            <w:r w:rsidRPr="00A8351F">
              <w:rPr>
                <w:rFonts w:ascii="Arial" w:eastAsia="Times New Roman" w:hAnsi="Arial" w:cs="Arial"/>
                <w:sz w:val="20"/>
                <w:szCs w:val="20"/>
                <w:lang w:eastAsia="ru-RU"/>
              </w:rPr>
              <w:t>в</w:t>
            </w:r>
            <w:proofErr w:type="spellStart"/>
            <w:r w:rsidRPr="00A8351F">
              <w:rPr>
                <w:rFonts w:ascii="Arial" w:eastAsia="Times New Roman" w:hAnsi="Arial" w:cs="Arial"/>
                <w:sz w:val="20"/>
                <w:szCs w:val="20"/>
                <w:lang w:val="uk-UA" w:eastAsia="ru-RU"/>
              </w:rPr>
              <w:t>ересня</w:t>
            </w:r>
            <w:proofErr w:type="spellEnd"/>
            <w:r w:rsidRPr="00A8351F">
              <w:rPr>
                <w:rFonts w:ascii="Arial" w:eastAsia="Times New Roman" w:hAnsi="Arial" w:cs="Arial"/>
                <w:sz w:val="20"/>
                <w:lang w:val="uk-UA" w:eastAsia="ru-RU"/>
              </w:rPr>
              <w:t> </w:t>
            </w:r>
            <w:r w:rsidRPr="00A8351F">
              <w:rPr>
                <w:rFonts w:ascii="Arial" w:eastAsia="Times New Roman" w:hAnsi="Arial" w:cs="Arial"/>
                <w:sz w:val="20"/>
                <w:szCs w:val="20"/>
                <w:lang w:val="uk-UA" w:eastAsia="ru-RU"/>
              </w:rPr>
              <w:t>(включно)</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5041,8</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201,7</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294,4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361,8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90,3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1198,0</w:t>
            </w:r>
          </w:p>
        </w:tc>
        <w:tc>
          <w:tcPr>
            <w:tcW w:w="500" w:type="pct"/>
            <w:tcBorders>
              <w:top w:val="nil"/>
              <w:left w:val="nil"/>
              <w:bottom w:val="single" w:sz="8" w:space="0" w:color="auto"/>
              <w:right w:val="single" w:sz="8" w:space="0" w:color="auto"/>
            </w:tcBorders>
            <w:shd w:val="clear" w:color="auto" w:fill="FFFF99"/>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7188,0</w:t>
            </w:r>
          </w:p>
        </w:tc>
      </w:tr>
      <w:tr w:rsidR="00A8351F" w:rsidRPr="00A8351F" w:rsidTr="00A8351F">
        <w:trPr>
          <w:trHeight w:val="284"/>
        </w:trPr>
        <w:tc>
          <w:tcPr>
            <w:tcW w:w="1100" w:type="pct"/>
            <w:tcBorders>
              <w:top w:val="nil"/>
              <w:left w:val="single" w:sz="8" w:space="0" w:color="auto"/>
              <w:bottom w:val="single" w:sz="8" w:space="0" w:color="auto"/>
              <w:right w:val="nil"/>
            </w:tcBorders>
            <w:tcMar>
              <w:top w:w="0" w:type="dxa"/>
              <w:left w:w="108" w:type="dxa"/>
              <w:bottom w:w="0" w:type="dxa"/>
              <w:right w:w="108" w:type="dxa"/>
            </w:tcMar>
            <w:hideMark/>
          </w:tcPr>
          <w:p w:rsidR="00A8351F" w:rsidRPr="00A8351F" w:rsidRDefault="00A8351F" w:rsidP="00A8351F">
            <w:pPr>
              <w:spacing w:before="40" w:after="40" w:line="240" w:lineRule="auto"/>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з 1 жовтня по</w:t>
            </w:r>
            <w:r w:rsidRPr="00A8351F">
              <w:rPr>
                <w:rFonts w:ascii="Arial" w:eastAsia="Times New Roman" w:hAnsi="Arial" w:cs="Arial"/>
                <w:sz w:val="20"/>
                <w:lang w:val="uk-UA" w:eastAsia="ru-RU"/>
              </w:rPr>
              <w:t> </w:t>
            </w:r>
            <w:r w:rsidRPr="00A8351F">
              <w:rPr>
                <w:rFonts w:ascii="Arial" w:eastAsia="Times New Roman" w:hAnsi="Arial" w:cs="Arial"/>
                <w:sz w:val="20"/>
                <w:szCs w:val="20"/>
                <w:lang w:val="uk-UA" w:eastAsia="ru-RU"/>
              </w:rPr>
              <w:t>30 квітня</w:t>
            </w:r>
            <w:r w:rsidRPr="00A8351F">
              <w:rPr>
                <w:rFonts w:ascii="Arial" w:eastAsia="Times New Roman" w:hAnsi="Arial" w:cs="Arial"/>
                <w:sz w:val="20"/>
                <w:lang w:val="uk-UA" w:eastAsia="ru-RU"/>
              </w:rPr>
              <w:t> </w:t>
            </w:r>
            <w:r w:rsidRPr="00A8351F">
              <w:rPr>
                <w:rFonts w:ascii="Arial" w:eastAsia="Times New Roman" w:hAnsi="Arial" w:cs="Arial"/>
                <w:sz w:val="20"/>
                <w:szCs w:val="20"/>
                <w:lang w:val="uk-UA" w:eastAsia="ru-RU"/>
              </w:rPr>
              <w:t>(включно):</w:t>
            </w:r>
          </w:p>
        </w:tc>
        <w:tc>
          <w:tcPr>
            <w:tcW w:w="3850" w:type="pct"/>
            <w:gridSpan w:val="7"/>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100" w:after="100" w:line="240" w:lineRule="auto"/>
              <w:rPr>
                <w:rFonts w:ascii="Times New Roman" w:eastAsia="Times New Roman" w:hAnsi="Times New Roman" w:cs="Times New Roman"/>
                <w:sz w:val="24"/>
                <w:szCs w:val="24"/>
                <w:lang w:eastAsia="ru-RU"/>
              </w:rPr>
            </w:pPr>
            <w:r w:rsidRPr="00A8351F">
              <w:rPr>
                <w:rFonts w:ascii="Arial" w:eastAsia="Times New Roman" w:hAnsi="Arial" w:cs="Arial"/>
                <w:sz w:val="20"/>
                <w:szCs w:val="20"/>
                <w:lang w:eastAsia="ru-RU"/>
              </w:rPr>
              <w:t> </w:t>
            </w:r>
          </w:p>
        </w:tc>
      </w:tr>
      <w:tr w:rsidR="00A8351F" w:rsidRPr="00A8351F" w:rsidTr="00A8351F">
        <w:trPr>
          <w:trHeight w:val="284"/>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ind w:left="113"/>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до 200 м</w:t>
            </w:r>
            <w:r w:rsidRPr="00A8351F">
              <w:rPr>
                <w:rFonts w:ascii="Arial" w:eastAsia="Times New Roman" w:hAnsi="Arial" w:cs="Arial"/>
                <w:sz w:val="20"/>
                <w:szCs w:val="20"/>
                <w:vertAlign w:val="superscript"/>
                <w:lang w:val="uk-UA" w:eastAsia="ru-RU"/>
              </w:rPr>
              <w:t>3</w:t>
            </w:r>
            <w:r w:rsidRPr="00A8351F">
              <w:rPr>
                <w:rFonts w:ascii="Arial" w:eastAsia="Times New Roman" w:hAnsi="Arial" w:cs="Arial"/>
                <w:sz w:val="20"/>
                <w:lang w:val="uk-UA" w:eastAsia="ru-RU"/>
              </w:rPr>
              <w:t> </w:t>
            </w:r>
            <w:r w:rsidRPr="00A8351F">
              <w:rPr>
                <w:rFonts w:ascii="Arial" w:eastAsia="Times New Roman" w:hAnsi="Arial" w:cs="Arial"/>
                <w:sz w:val="20"/>
                <w:szCs w:val="20"/>
                <w:lang w:val="uk-UA" w:eastAsia="ru-RU"/>
              </w:rPr>
              <w:t>на місяць</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2166,8</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86,7</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294,4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361,8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90,3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600,0</w:t>
            </w:r>
          </w:p>
        </w:tc>
        <w:tc>
          <w:tcPr>
            <w:tcW w:w="500" w:type="pct"/>
            <w:tcBorders>
              <w:top w:val="nil"/>
              <w:left w:val="nil"/>
              <w:bottom w:val="single" w:sz="8" w:space="0" w:color="auto"/>
              <w:right w:val="single" w:sz="8" w:space="0" w:color="auto"/>
            </w:tcBorders>
            <w:shd w:val="clear" w:color="auto" w:fill="FFFF99"/>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3600,0</w:t>
            </w:r>
          </w:p>
        </w:tc>
      </w:tr>
      <w:tr w:rsidR="00A8351F" w:rsidRPr="00A8351F" w:rsidTr="00A8351F">
        <w:trPr>
          <w:trHeight w:val="284"/>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ind w:left="113"/>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понад 200 м</w:t>
            </w:r>
            <w:r w:rsidRPr="00A8351F">
              <w:rPr>
                <w:rFonts w:ascii="Arial" w:eastAsia="Times New Roman" w:hAnsi="Arial" w:cs="Arial"/>
                <w:sz w:val="20"/>
                <w:szCs w:val="20"/>
                <w:vertAlign w:val="superscript"/>
                <w:lang w:val="uk-UA" w:eastAsia="ru-RU"/>
              </w:rPr>
              <w:t>3</w:t>
            </w:r>
            <w:r w:rsidRPr="00A8351F">
              <w:rPr>
                <w:rFonts w:ascii="Arial" w:eastAsia="Times New Roman" w:hAnsi="Arial" w:cs="Arial"/>
                <w:sz w:val="20"/>
                <w:lang w:val="uk-UA" w:eastAsia="ru-RU"/>
              </w:rPr>
              <w:t> </w:t>
            </w:r>
            <w:r w:rsidRPr="00A8351F">
              <w:rPr>
                <w:rFonts w:ascii="Arial" w:eastAsia="Times New Roman" w:hAnsi="Arial" w:cs="Arial"/>
                <w:sz w:val="20"/>
                <w:szCs w:val="20"/>
                <w:lang w:val="uk-UA" w:eastAsia="ru-RU"/>
              </w:rPr>
              <w:t>на місяць</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5041,8</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201,7</w:t>
            </w:r>
          </w:p>
        </w:tc>
        <w:tc>
          <w:tcPr>
            <w:tcW w:w="65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294,4</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361,8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90,3</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1198,0</w:t>
            </w:r>
          </w:p>
        </w:tc>
        <w:tc>
          <w:tcPr>
            <w:tcW w:w="500" w:type="pct"/>
            <w:tcBorders>
              <w:top w:val="nil"/>
              <w:left w:val="nil"/>
              <w:bottom w:val="single" w:sz="8" w:space="0" w:color="auto"/>
              <w:right w:val="single" w:sz="8" w:space="0" w:color="auto"/>
            </w:tcBorders>
            <w:shd w:val="clear" w:color="auto" w:fill="FFFF99"/>
            <w:tcMar>
              <w:top w:w="0" w:type="dxa"/>
              <w:left w:w="108" w:type="dxa"/>
              <w:bottom w:w="0" w:type="dxa"/>
              <w:right w:w="108" w:type="dxa"/>
            </w:tcMar>
            <w:hideMark/>
          </w:tcPr>
          <w:p w:rsidR="00A8351F" w:rsidRPr="00A8351F" w:rsidRDefault="00A8351F" w:rsidP="00A8351F">
            <w:pPr>
              <w:spacing w:before="40" w:after="40" w:line="240" w:lineRule="auto"/>
              <w:jc w:val="center"/>
              <w:rPr>
                <w:rFonts w:ascii="Times New Roman" w:eastAsia="Times New Roman" w:hAnsi="Times New Roman" w:cs="Times New Roman"/>
                <w:sz w:val="24"/>
                <w:szCs w:val="24"/>
                <w:lang w:eastAsia="ru-RU"/>
              </w:rPr>
            </w:pPr>
            <w:r w:rsidRPr="00A8351F">
              <w:rPr>
                <w:rFonts w:ascii="Arial" w:eastAsia="Times New Roman" w:hAnsi="Arial" w:cs="Arial"/>
                <w:sz w:val="20"/>
                <w:szCs w:val="20"/>
                <w:lang w:val="uk-UA" w:eastAsia="ru-RU"/>
              </w:rPr>
              <w:t>7188,0</w:t>
            </w:r>
          </w:p>
        </w:tc>
      </w:tr>
    </w:tbl>
    <w:p w:rsidR="00A8351F" w:rsidRPr="00A8351F" w:rsidRDefault="00A8351F" w:rsidP="00A8351F">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A8351F">
        <w:rPr>
          <w:rFonts w:ascii="Times New Roman" w:eastAsia="Times New Roman" w:hAnsi="Times New Roman" w:cs="Times New Roman"/>
          <w:color w:val="000000"/>
          <w:sz w:val="27"/>
          <w:szCs w:val="27"/>
          <w:lang w:val="uk-UA" w:eastAsia="ru-RU"/>
        </w:rPr>
        <w:t> </w:t>
      </w:r>
    </w:p>
    <w:p w:rsidR="00A8351F" w:rsidRDefault="00A8351F" w:rsidP="00A8351F">
      <w:pPr>
        <w:spacing w:before="100" w:beforeAutospacing="1" w:after="100" w:afterAutospacing="1" w:line="240" w:lineRule="auto"/>
        <w:jc w:val="both"/>
        <w:rPr>
          <w:rFonts w:ascii="Arial" w:eastAsia="Times New Roman" w:hAnsi="Arial" w:cs="Arial"/>
          <w:color w:val="000000"/>
          <w:sz w:val="24"/>
          <w:szCs w:val="24"/>
          <w:lang w:val="en-US" w:eastAsia="ru-RU"/>
        </w:rPr>
      </w:pPr>
      <w:r w:rsidRPr="00A8351F">
        <w:rPr>
          <w:rFonts w:ascii="Arial" w:eastAsia="Times New Roman" w:hAnsi="Arial" w:cs="Arial"/>
          <w:color w:val="000000"/>
          <w:sz w:val="24"/>
          <w:szCs w:val="24"/>
          <w:lang w:val="uk-UA" w:eastAsia="ru-RU"/>
        </w:rPr>
        <w:lastRenderedPageBreak/>
        <w:t>Структура роздрібних цін на природний газ, що використовується для потреб населення, оприлюднена відповідно до пункту 18 Порядку встановлення роздрібних цін на природний газ для населення, затвердженого постановою Кабінету Міністрів України від 01.06.2011 № 869 (із змінами).</w:t>
      </w:r>
    </w:p>
    <w:p w:rsidR="00A8351F" w:rsidRDefault="00A8351F" w:rsidP="00A8351F">
      <w:pPr>
        <w:spacing w:before="100" w:beforeAutospacing="1" w:after="100" w:afterAutospacing="1" w:line="240" w:lineRule="auto"/>
        <w:jc w:val="both"/>
        <w:rPr>
          <w:rFonts w:ascii="Arial" w:eastAsia="Times New Roman" w:hAnsi="Arial" w:cs="Arial"/>
          <w:color w:val="000000"/>
          <w:sz w:val="24"/>
          <w:szCs w:val="24"/>
          <w:lang w:val="en-US" w:eastAsia="ru-RU"/>
        </w:rPr>
      </w:pPr>
    </w:p>
    <w:p w:rsidR="00A8351F" w:rsidRPr="00A8351F" w:rsidRDefault="00A8351F" w:rsidP="00A8351F">
      <w:pPr>
        <w:spacing w:before="100" w:beforeAutospacing="1" w:after="100" w:afterAutospacing="1" w:line="240" w:lineRule="auto"/>
        <w:jc w:val="both"/>
        <w:rPr>
          <w:rFonts w:ascii="Times New Roman" w:eastAsia="Times New Roman" w:hAnsi="Times New Roman" w:cs="Times New Roman"/>
          <w:color w:val="000000"/>
          <w:sz w:val="27"/>
          <w:szCs w:val="27"/>
          <w:lang w:val="en-US" w:eastAsia="ru-RU"/>
        </w:rPr>
      </w:pPr>
    </w:p>
    <w:sectPr w:rsidR="00A8351F" w:rsidRPr="00A8351F" w:rsidSect="00A8351F">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351F"/>
    <w:rsid w:val="003E0369"/>
    <w:rsid w:val="004B45A8"/>
    <w:rsid w:val="00A83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351F"/>
    <w:rPr>
      <w:b/>
      <w:bCs/>
    </w:rPr>
  </w:style>
  <w:style w:type="character" w:customStyle="1" w:styleId="apple-converted-space">
    <w:name w:val="apple-converted-space"/>
    <w:basedOn w:val="a0"/>
    <w:rsid w:val="00A8351F"/>
  </w:style>
  <w:style w:type="character" w:styleId="a4">
    <w:name w:val="Hyperlink"/>
    <w:basedOn w:val="a0"/>
    <w:uiPriority w:val="99"/>
    <w:semiHidden/>
    <w:unhideWhenUsed/>
    <w:rsid w:val="00A8351F"/>
    <w:rPr>
      <w:color w:val="0000FF"/>
      <w:u w:val="single"/>
    </w:rPr>
  </w:style>
</w:styles>
</file>

<file path=word/webSettings.xml><?xml version="1.0" encoding="utf-8"?>
<w:webSettings xmlns:r="http://schemas.openxmlformats.org/officeDocument/2006/relationships" xmlns:w="http://schemas.openxmlformats.org/wordprocessingml/2006/main">
  <w:divs>
    <w:div w:id="1943222143">
      <w:bodyDiv w:val="1"/>
      <w:marLeft w:val="0"/>
      <w:marRight w:val="0"/>
      <w:marTop w:val="0"/>
      <w:marBottom w:val="0"/>
      <w:divBdr>
        <w:top w:val="none" w:sz="0" w:space="0" w:color="auto"/>
        <w:left w:val="none" w:sz="0" w:space="0" w:color="auto"/>
        <w:bottom w:val="none" w:sz="0" w:space="0" w:color="auto"/>
        <w:right w:val="none" w:sz="0" w:space="0" w:color="auto"/>
      </w:divBdr>
    </w:div>
    <w:div w:id="196368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erc.gov.ua/index.php?id=14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256</Words>
  <Characters>1464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2015-04-30T15:20:00Z</dcterms:created>
  <dcterms:modified xsi:type="dcterms:W3CDTF">2015-04-30T15:33:00Z</dcterms:modified>
</cp:coreProperties>
</file>