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E0F" w:rsidRPr="00350323" w:rsidRDefault="00724E0F" w:rsidP="00724E0F">
      <w:pPr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350323">
        <w:rPr>
          <w:rFonts w:ascii="Times New Roman" w:hAnsi="Times New Roman"/>
          <w:b/>
          <w:sz w:val="26"/>
          <w:szCs w:val="26"/>
          <w:lang w:val="uk-UA"/>
        </w:rPr>
        <w:t>5.2.4. Показники обслуговування кредитів</w:t>
      </w:r>
    </w:p>
    <w:p w:rsidR="00724E0F" w:rsidRPr="00350323" w:rsidRDefault="00724E0F" w:rsidP="00724E0F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350323">
        <w:rPr>
          <w:rFonts w:ascii="Times New Roman" w:hAnsi="Times New Roman"/>
          <w:sz w:val="26"/>
          <w:szCs w:val="26"/>
          <w:lang w:val="uk-UA"/>
        </w:rPr>
        <w:t xml:space="preserve">Одним із варіантів будівництва І черги Міжнародної реабілітаційної клініки є бюджетні інвестиції (34,6%) та залучені кошти під державні гарантії (65,4%) (таблиця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350323">
        <w:rPr>
          <w:rFonts w:ascii="Times New Roman" w:hAnsi="Times New Roman"/>
          <w:sz w:val="26"/>
          <w:szCs w:val="26"/>
          <w:lang w:val="uk-UA"/>
        </w:rPr>
        <w:t>.36).</w:t>
      </w:r>
    </w:p>
    <w:p w:rsidR="00724E0F" w:rsidRPr="00350323" w:rsidRDefault="00724E0F" w:rsidP="00724E0F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350323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350323">
        <w:rPr>
          <w:rFonts w:ascii="Times New Roman" w:hAnsi="Times New Roman"/>
          <w:sz w:val="26"/>
          <w:szCs w:val="26"/>
          <w:lang w:val="uk-UA"/>
        </w:rPr>
        <w:t>.36 – Розподіл інвестиційних ресурсів за джерелом надходження</w:t>
      </w:r>
    </w:p>
    <w:tbl>
      <w:tblPr>
        <w:tblW w:w="5000" w:type="pct"/>
        <w:tblLook w:val="0000"/>
      </w:tblPr>
      <w:tblGrid>
        <w:gridCol w:w="4364"/>
        <w:gridCol w:w="2674"/>
        <w:gridCol w:w="2533"/>
      </w:tblGrid>
      <w:tr w:rsidR="00724E0F" w:rsidRPr="006F5CBA" w:rsidTr="003909DE">
        <w:trPr>
          <w:trHeight w:val="795"/>
        </w:trPr>
        <w:tc>
          <w:tcPr>
            <w:tcW w:w="19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24E0F" w:rsidRPr="006F5CBA" w:rsidRDefault="00724E0F" w:rsidP="00390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Джерело інвестицій</w:t>
            </w:r>
          </w:p>
        </w:tc>
        <w:tc>
          <w:tcPr>
            <w:tcW w:w="15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4E0F" w:rsidRPr="006F5CBA" w:rsidRDefault="00724E0F" w:rsidP="00390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F5C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Доля</w:t>
            </w:r>
            <w:r w:rsidRPr="006F5CBA">
              <w:rPr>
                <w:rFonts w:ascii="Times New Roman" w:eastAsia="Times New Roman" w:hAnsi="Times New Roman"/>
                <w:color w:val="000000"/>
                <w:sz w:val="26"/>
                <w:szCs w:val="26"/>
                <w:lang w:val="uk-UA"/>
              </w:rPr>
              <w:t xml:space="preserve">, </w:t>
            </w:r>
            <w:r w:rsidRPr="006F5C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%</w:t>
            </w:r>
          </w:p>
        </w:tc>
        <w:tc>
          <w:tcPr>
            <w:tcW w:w="14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4E0F" w:rsidRPr="006F5CBA" w:rsidRDefault="00724E0F" w:rsidP="00390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Загальна</w:t>
            </w:r>
            <w:proofErr w:type="spellEnd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 xml:space="preserve"> сума </w:t>
            </w:r>
            <w:proofErr w:type="spellStart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інвестицій</w:t>
            </w:r>
            <w:proofErr w:type="spellEnd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 xml:space="preserve">, </w:t>
            </w:r>
            <w:proofErr w:type="spellStart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тис</w:t>
            </w:r>
            <w:proofErr w:type="gramStart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.г</w:t>
            </w:r>
            <w:proofErr w:type="gramEnd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рн</w:t>
            </w:r>
            <w:proofErr w:type="spellEnd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.</w:t>
            </w:r>
          </w:p>
        </w:tc>
      </w:tr>
      <w:tr w:rsidR="00724E0F" w:rsidRPr="006F5CBA" w:rsidTr="003909DE">
        <w:trPr>
          <w:trHeight w:val="330"/>
        </w:trPr>
        <w:tc>
          <w:tcPr>
            <w:tcW w:w="1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Всього</w:t>
            </w:r>
            <w:proofErr w:type="spellEnd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інвестицій</w:t>
            </w:r>
            <w:proofErr w:type="spellEnd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: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4E0F" w:rsidRPr="006F5CBA" w:rsidRDefault="00724E0F" w:rsidP="00390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F5C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100%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F5C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395120,914</w:t>
            </w:r>
          </w:p>
        </w:tc>
      </w:tr>
      <w:tr w:rsidR="00724E0F" w:rsidRPr="006F5CBA" w:rsidTr="003909DE">
        <w:trPr>
          <w:trHeight w:val="330"/>
        </w:trPr>
        <w:tc>
          <w:tcPr>
            <w:tcW w:w="1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Кошти з д</w:t>
            </w:r>
            <w:proofErr w:type="spellStart"/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ержав</w:t>
            </w:r>
            <w:r w:rsidRPr="006F5CBA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ного</w:t>
            </w:r>
            <w:proofErr w:type="spellEnd"/>
            <w:r w:rsidRPr="006F5CBA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 xml:space="preserve"> бюджету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4E0F" w:rsidRPr="006F5CBA" w:rsidRDefault="00724E0F" w:rsidP="00390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 w:rsidRPr="006F5CBA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35%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138292,3199</w:t>
            </w:r>
          </w:p>
        </w:tc>
      </w:tr>
      <w:tr w:rsidR="00724E0F" w:rsidRPr="006F5CBA" w:rsidTr="003909DE">
        <w:trPr>
          <w:trHeight w:val="363"/>
        </w:trPr>
        <w:tc>
          <w:tcPr>
            <w:tcW w:w="19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6"/>
                <w:szCs w:val="26"/>
                <w:lang w:val="uk-UA"/>
              </w:rPr>
              <w:t>Залучені кошти під державні гарантії</w:t>
            </w:r>
          </w:p>
        </w:tc>
        <w:tc>
          <w:tcPr>
            <w:tcW w:w="15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724E0F" w:rsidRPr="006F5CBA" w:rsidRDefault="00724E0F" w:rsidP="003909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65%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6F5CBA">
              <w:rPr>
                <w:rFonts w:ascii="Times New Roman" w:eastAsia="Times New Roman" w:hAnsi="Times New Roman"/>
                <w:sz w:val="26"/>
                <w:szCs w:val="26"/>
              </w:rPr>
              <w:t>256828,5941</w:t>
            </w:r>
          </w:p>
        </w:tc>
      </w:tr>
    </w:tbl>
    <w:p w:rsidR="00724E0F" w:rsidRPr="00350323" w:rsidRDefault="00724E0F" w:rsidP="00724E0F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350323">
        <w:rPr>
          <w:rFonts w:ascii="Times New Roman" w:hAnsi="Times New Roman"/>
          <w:sz w:val="26"/>
          <w:szCs w:val="26"/>
          <w:lang w:val="uk-UA"/>
        </w:rPr>
        <w:t xml:space="preserve">Сума залучених коштів складає 256,829 млн. грн. Умови залучення коштів під державні гарантії – виплата 2% річних. Оплата відсотків здійснюється 1 раз на півроку. В таблиці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350323">
        <w:rPr>
          <w:rFonts w:ascii="Times New Roman" w:hAnsi="Times New Roman"/>
          <w:sz w:val="26"/>
          <w:szCs w:val="26"/>
          <w:lang w:val="uk-UA"/>
        </w:rPr>
        <w:t>.37 відображено рух грошових коштів по обслуговуванню залучених коштів під державні гарантії.</w:t>
      </w:r>
    </w:p>
    <w:p w:rsidR="00724E0F" w:rsidRDefault="00724E0F" w:rsidP="00724E0F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24E0F" w:rsidRPr="00350323" w:rsidRDefault="00724E0F" w:rsidP="00724E0F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350323">
        <w:rPr>
          <w:rFonts w:ascii="Times New Roman" w:hAnsi="Times New Roman"/>
          <w:sz w:val="26"/>
          <w:szCs w:val="26"/>
          <w:lang w:val="uk-UA"/>
        </w:rPr>
        <w:t xml:space="preserve">Таблиця </w:t>
      </w:r>
      <w:r>
        <w:rPr>
          <w:rFonts w:ascii="Times New Roman" w:hAnsi="Times New Roman"/>
          <w:sz w:val="26"/>
          <w:szCs w:val="26"/>
          <w:lang w:val="uk-UA"/>
        </w:rPr>
        <w:t>5</w:t>
      </w:r>
      <w:r w:rsidRPr="00350323">
        <w:rPr>
          <w:rFonts w:ascii="Times New Roman" w:hAnsi="Times New Roman"/>
          <w:sz w:val="26"/>
          <w:szCs w:val="26"/>
          <w:lang w:val="uk-UA"/>
        </w:rPr>
        <w:t>.37 – Рух грошових коштів по обслуговуванню залучених коштів під державні гарантії</w:t>
      </w:r>
    </w:p>
    <w:tbl>
      <w:tblPr>
        <w:tblW w:w="5000" w:type="pct"/>
        <w:tblLook w:val="0000"/>
      </w:tblPr>
      <w:tblGrid>
        <w:gridCol w:w="1823"/>
        <w:gridCol w:w="1629"/>
        <w:gridCol w:w="2292"/>
        <w:gridCol w:w="1947"/>
        <w:gridCol w:w="1880"/>
      </w:tblGrid>
      <w:tr w:rsidR="00724E0F" w:rsidRPr="006F5CBA" w:rsidTr="003909DE">
        <w:trPr>
          <w:trHeight w:val="255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Тіло кредиту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тіла кредиту</w:t>
            </w:r>
          </w:p>
        </w:tc>
        <w:tc>
          <w:tcPr>
            <w:tcW w:w="10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відсотків</w:t>
            </w:r>
          </w:p>
        </w:tc>
        <w:tc>
          <w:tcPr>
            <w:tcW w:w="9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Разом до с</w:t>
            </w: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плати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2016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256,8285941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5,136571882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12,2706995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2016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249,6944665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4,99388933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12,12801694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2017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242,5603389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4,851206777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11,98533439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2017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235,4262113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4,708524225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11,84265184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2018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228,2920836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4,565841673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11,69996929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2018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221,157956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4,423159121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11,55728673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2019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214,0238284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4,280476568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11,41460418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2019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206,8897008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4,137794016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11,27192163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2020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199,7555732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3,995111464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11,12923908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2020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192,6214456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3,852428912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10,98655653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2021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185,487318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3,709746359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10,84387397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2021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178,3531903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3,567063807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10,70119142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2022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171,2190627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3,424381255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10,55850887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2022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164,0849351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3,281698702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10,41582632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2023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156,9508075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3,13901615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10,27314376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2023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149,8166799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2,996333598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10,13046121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2024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142,6825523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2,853651046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9,987778659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2024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135,5484247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2,710968493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9,845096107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2025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128,4142971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2,568285941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9,702413555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2025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8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121,2801694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0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2,425603389</w:t>
            </w:r>
          </w:p>
        </w:tc>
        <w:tc>
          <w:tcPr>
            <w:tcW w:w="9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9,559731003</w:t>
            </w:r>
          </w:p>
        </w:tc>
      </w:tr>
    </w:tbl>
    <w:p w:rsidR="00724E0F" w:rsidRDefault="00724E0F" w:rsidP="00724E0F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4E0F" w:rsidRPr="0073488E" w:rsidRDefault="00724E0F" w:rsidP="00724E0F">
      <w:pPr>
        <w:spacing w:after="0" w:line="360" w:lineRule="auto"/>
        <w:ind w:firstLine="720"/>
        <w:jc w:val="both"/>
        <w:rPr>
          <w:rFonts w:ascii="Times New Roman" w:hAnsi="Times New Roman"/>
          <w:sz w:val="26"/>
          <w:szCs w:val="26"/>
          <w:lang w:val="uk-UA"/>
        </w:rPr>
      </w:pPr>
      <w:r w:rsidRPr="0073488E">
        <w:rPr>
          <w:rFonts w:ascii="Times New Roman" w:hAnsi="Times New Roman"/>
          <w:sz w:val="26"/>
          <w:szCs w:val="26"/>
          <w:lang w:val="uk-UA"/>
        </w:rPr>
        <w:t>Продовження таблиці 5.37</w:t>
      </w:r>
    </w:p>
    <w:tbl>
      <w:tblPr>
        <w:tblW w:w="5000" w:type="pct"/>
        <w:tblLook w:val="0000"/>
      </w:tblPr>
      <w:tblGrid>
        <w:gridCol w:w="1823"/>
        <w:gridCol w:w="1628"/>
        <w:gridCol w:w="177"/>
        <w:gridCol w:w="2115"/>
        <w:gridCol w:w="108"/>
        <w:gridCol w:w="1839"/>
        <w:gridCol w:w="10"/>
        <w:gridCol w:w="1871"/>
      </w:tblGrid>
      <w:tr w:rsidR="00724E0F" w:rsidRPr="006F5CBA" w:rsidTr="003909DE">
        <w:trPr>
          <w:trHeight w:val="255"/>
        </w:trPr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Період</w:t>
            </w:r>
          </w:p>
        </w:tc>
        <w:tc>
          <w:tcPr>
            <w:tcW w:w="8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Тіло кредиту</w:t>
            </w:r>
          </w:p>
        </w:tc>
        <w:tc>
          <w:tcPr>
            <w:tcW w:w="119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тіла кредиту</w:t>
            </w:r>
          </w:p>
        </w:tc>
        <w:tc>
          <w:tcPr>
            <w:tcW w:w="101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Оплата відсотків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Разом до с</w:t>
            </w: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плати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2026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114,1460418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2,282920836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9,41704845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2026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107,0119142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2,140238284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9,274365898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2027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99,87778659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1,997555732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9,131683346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2027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92,74365898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1,85487318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8,989000794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2028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85,60953137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1,712190627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8,846318241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2028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78,47540375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1,569508075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8,703635689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2029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71,34127614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1,426825523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8,560953137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2029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64,20714853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1,284142971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8,418270584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2030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57,07302091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1,141460418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8,275588032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2030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49,9388933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0,998777866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8,13290548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2031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42,80476568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0,856095314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7,990222928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2031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35,67063807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0,713412761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7,847540375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2032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28,53651046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0,570730209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7,704857823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2032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21,40238284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0,428047657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7,562175271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2033 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14,26825523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0,285365105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7,419492718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 xml:space="preserve">2033 ІІ </w:t>
            </w:r>
            <w:proofErr w:type="spellStart"/>
            <w:proofErr w:type="gramStart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івріччя</w:t>
            </w:r>
            <w:proofErr w:type="spellEnd"/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7,134127614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0,142682552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sz w:val="24"/>
                <w:szCs w:val="24"/>
              </w:rPr>
              <w:t>7,276810166</w:t>
            </w:r>
          </w:p>
        </w:tc>
      </w:tr>
      <w:tr w:rsidR="00724E0F" w:rsidRPr="006F5CBA" w:rsidTr="003909DE">
        <w:trPr>
          <w:trHeight w:val="255"/>
        </w:trPr>
        <w:tc>
          <w:tcPr>
            <w:tcW w:w="9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94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4751,328991</w:t>
            </w:r>
          </w:p>
        </w:tc>
        <w:tc>
          <w:tcPr>
            <w:tcW w:w="116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256,8285941</w:t>
            </w:r>
          </w:p>
        </w:tc>
        <w:tc>
          <w:tcPr>
            <w:tcW w:w="9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95,02657982</w:t>
            </w:r>
          </w:p>
        </w:tc>
        <w:tc>
          <w:tcPr>
            <w:tcW w:w="9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4E0F" w:rsidRPr="006F5CBA" w:rsidRDefault="00724E0F" w:rsidP="003909D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6F5CB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351,8551739</w:t>
            </w:r>
          </w:p>
        </w:tc>
      </w:tr>
    </w:tbl>
    <w:p w:rsidR="00724E0F" w:rsidRPr="0073488E" w:rsidRDefault="00724E0F" w:rsidP="00724E0F">
      <w:pPr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val="uk-UA"/>
        </w:rPr>
      </w:pPr>
      <w:r w:rsidRPr="0073488E">
        <w:rPr>
          <w:rFonts w:ascii="Times New Roman" w:hAnsi="Times New Roman"/>
          <w:sz w:val="26"/>
          <w:szCs w:val="26"/>
          <w:lang w:val="uk-UA"/>
        </w:rPr>
        <w:t>Загальна сума кредиту – 256,829 млн. грн.; виплата відсотків по кредиту – 95,027 млн. грн.; загальна сума витрат держави на обслуговування кредиту – 351,855 млн. грн. Джерелом повернення кредитних коштів стануть доходи від операційної діяльності Міжнародної реабілітаційної клініки (І черга).</w:t>
      </w:r>
    </w:p>
    <w:p w:rsidR="00000000" w:rsidRPr="00724E0F" w:rsidRDefault="00724E0F">
      <w:pPr>
        <w:rPr>
          <w:lang w:val="uk-UA"/>
        </w:rPr>
      </w:pPr>
    </w:p>
    <w:sectPr w:rsidR="00000000" w:rsidRPr="00724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4E0F"/>
    <w:rsid w:val="0072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Суленко</dc:creator>
  <cp:keywords/>
  <dc:description/>
  <cp:lastModifiedBy>Александр Суленко</cp:lastModifiedBy>
  <cp:revision>2</cp:revision>
  <dcterms:created xsi:type="dcterms:W3CDTF">2013-08-08T11:19:00Z</dcterms:created>
  <dcterms:modified xsi:type="dcterms:W3CDTF">2013-08-08T11:19:00Z</dcterms:modified>
</cp:coreProperties>
</file>