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33" w:rsidRPr="007831EB" w:rsidRDefault="00EF2033" w:rsidP="00EF203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7831EB">
        <w:rPr>
          <w:rFonts w:ascii="Times New Roman" w:hAnsi="Times New Roman"/>
          <w:b/>
          <w:i/>
          <w:sz w:val="26"/>
          <w:szCs w:val="26"/>
          <w:lang w:val="uk-UA"/>
        </w:rPr>
        <w:t>3.2.1.2. Медичні параметри проектних рішень</w:t>
      </w:r>
    </w:p>
    <w:p w:rsidR="00EF2033" w:rsidRDefault="00EF2033" w:rsidP="00EF2033">
      <w:pPr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  <w:lang w:val="uk-UA"/>
        </w:rPr>
      </w:pPr>
    </w:p>
    <w:p w:rsidR="00EF2033" w:rsidRPr="007831EB" w:rsidRDefault="00EF2033" w:rsidP="00EF2033">
      <w:pPr>
        <w:widowControl w:val="0"/>
        <w:spacing w:after="0"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>Початок будівництва</w:t>
      </w:r>
      <w:r w:rsidRPr="007831EB">
        <w:rPr>
          <w:rStyle w:val="longtext"/>
          <w:rFonts w:ascii="Times New Roman" w:hAnsi="Times New Roman"/>
          <w:sz w:val="26"/>
          <w:szCs w:val="26"/>
        </w:rPr>
        <w:t xml:space="preserve"> 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заплановано на четвертий</w:t>
      </w:r>
      <w:r w:rsidRPr="007831EB">
        <w:rPr>
          <w:rStyle w:val="longtext"/>
          <w:rFonts w:ascii="Times New Roman" w:hAnsi="Times New Roman"/>
          <w:sz w:val="26"/>
          <w:szCs w:val="26"/>
        </w:rPr>
        <w:t xml:space="preserve"> 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>квартал</w:t>
      </w:r>
      <w:r w:rsidRPr="007831EB">
        <w:rPr>
          <w:rStyle w:val="longtext"/>
          <w:rFonts w:ascii="Times New Roman" w:hAnsi="Times New Roman"/>
          <w:sz w:val="26"/>
          <w:szCs w:val="26"/>
        </w:rPr>
        <w:t xml:space="preserve"> 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>201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3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 xml:space="preserve"> року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(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І черга оздоровчої зони 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>–</w:t>
      </w:r>
      <w:r w:rsidRPr="007831EB">
        <w:rPr>
          <w:rStyle w:val="longtext"/>
          <w:rFonts w:ascii="Times New Roman" w:hAnsi="Times New Roman"/>
          <w:sz w:val="26"/>
          <w:szCs w:val="26"/>
        </w:rPr>
        <w:t xml:space="preserve"> 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Херсонський реабілітаційний Центр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)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>. Очікується, що через 5-6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 xml:space="preserve">років </w:t>
      </w:r>
      <w:r w:rsidRPr="008D06EF">
        <w:rPr>
          <w:rFonts w:ascii="Times New Roman" w:hAnsi="Times New Roman"/>
          <w:i/>
          <w:sz w:val="26"/>
          <w:szCs w:val="26"/>
          <w:lang w:val="uk-UA"/>
        </w:rPr>
        <w:t>«</w:t>
      </w:r>
      <w:proofErr w:type="spellStart"/>
      <w:r w:rsidRPr="008D06EF">
        <w:rPr>
          <w:rFonts w:ascii="Times New Roman" w:hAnsi="Times New Roman"/>
          <w:i/>
          <w:sz w:val="26"/>
          <w:szCs w:val="26"/>
          <w:lang w:val="uk-UA"/>
        </w:rPr>
        <w:t>ІnterMedical-EcoCity</w:t>
      </w:r>
      <w:proofErr w:type="spellEnd"/>
      <w:r w:rsidRPr="008D06EF">
        <w:rPr>
          <w:rFonts w:ascii="Times New Roman" w:hAnsi="Times New Roman"/>
          <w:i/>
          <w:sz w:val="26"/>
          <w:szCs w:val="26"/>
          <w:lang w:val="uk-UA"/>
        </w:rPr>
        <w:t>»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>перетвориться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>на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медично-реабілітаційне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 xml:space="preserve"> місто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>з найкращим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>медичним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7831EB">
        <w:rPr>
          <w:rStyle w:val="hps"/>
          <w:rFonts w:ascii="Times New Roman" w:hAnsi="Times New Roman"/>
          <w:sz w:val="26"/>
          <w:szCs w:val="26"/>
          <w:lang w:val="uk-UA"/>
        </w:rPr>
        <w:t>обслуговуванням.</w:t>
      </w:r>
    </w:p>
    <w:p w:rsidR="00EF2033" w:rsidRPr="008D06EF" w:rsidRDefault="00EF2033" w:rsidP="00EF2033">
      <w:pPr>
        <w:widowControl w:val="0"/>
        <w:spacing w:after="0"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8D06EF">
        <w:rPr>
          <w:rStyle w:val="hps"/>
          <w:rFonts w:ascii="Times New Roman" w:hAnsi="Times New Roman"/>
          <w:sz w:val="26"/>
          <w:szCs w:val="26"/>
          <w:lang w:val="uk-UA"/>
        </w:rPr>
        <w:t>Основні інвестиції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06EF">
        <w:rPr>
          <w:rStyle w:val="hps"/>
          <w:rFonts w:ascii="Times New Roman" w:hAnsi="Times New Roman"/>
          <w:sz w:val="26"/>
          <w:szCs w:val="26"/>
          <w:lang w:val="uk-UA"/>
        </w:rPr>
        <w:t>планується вкласти в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бальнеологічні</w:t>
      </w:r>
      <w:r w:rsidRPr="008D06EF">
        <w:rPr>
          <w:rStyle w:val="hps"/>
          <w:rFonts w:ascii="Times New Roman" w:hAnsi="Times New Roman"/>
          <w:sz w:val="26"/>
          <w:szCs w:val="26"/>
          <w:lang w:val="uk-UA"/>
        </w:rPr>
        <w:t xml:space="preserve"> та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06EF">
        <w:rPr>
          <w:rStyle w:val="hps"/>
          <w:rFonts w:ascii="Times New Roman" w:hAnsi="Times New Roman"/>
          <w:sz w:val="26"/>
          <w:szCs w:val="26"/>
          <w:lang w:val="uk-UA"/>
        </w:rPr>
        <w:t>медичні дослідження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8D06EF">
        <w:rPr>
          <w:rStyle w:val="hps"/>
          <w:rFonts w:ascii="Times New Roman" w:hAnsi="Times New Roman"/>
          <w:sz w:val="26"/>
          <w:szCs w:val="26"/>
          <w:lang w:val="uk-UA"/>
        </w:rPr>
        <w:t>освіту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8D06EF">
        <w:rPr>
          <w:rStyle w:val="hps"/>
          <w:rFonts w:ascii="Times New Roman" w:hAnsi="Times New Roman"/>
          <w:sz w:val="26"/>
          <w:szCs w:val="26"/>
          <w:lang w:val="uk-UA"/>
        </w:rPr>
        <w:t>будівництво та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06EF">
        <w:rPr>
          <w:rStyle w:val="hps"/>
          <w:rFonts w:ascii="Times New Roman" w:hAnsi="Times New Roman"/>
          <w:sz w:val="26"/>
          <w:szCs w:val="26"/>
          <w:lang w:val="uk-UA"/>
        </w:rPr>
        <w:t>реконструкцію клінічних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06EF">
        <w:rPr>
          <w:rStyle w:val="hps"/>
          <w:rFonts w:ascii="Times New Roman" w:hAnsi="Times New Roman"/>
          <w:sz w:val="26"/>
          <w:szCs w:val="26"/>
          <w:lang w:val="uk-UA"/>
        </w:rPr>
        <w:t>медичних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06EF">
        <w:rPr>
          <w:rStyle w:val="hps"/>
          <w:rFonts w:ascii="Times New Roman" w:hAnsi="Times New Roman"/>
          <w:sz w:val="26"/>
          <w:szCs w:val="26"/>
          <w:lang w:val="uk-UA"/>
        </w:rPr>
        <w:t>установ.</w:t>
      </w:r>
    </w:p>
    <w:p w:rsidR="00EF2033" w:rsidRPr="00462A8F" w:rsidRDefault="00EF2033" w:rsidP="00EF2033">
      <w:pPr>
        <w:widowControl w:val="0"/>
        <w:spacing w:after="0"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AE71C1">
        <w:rPr>
          <w:rStyle w:val="hps"/>
          <w:rFonts w:ascii="Times New Roman" w:hAnsi="Times New Roman"/>
          <w:i/>
          <w:sz w:val="26"/>
          <w:szCs w:val="26"/>
          <w:lang w:val="uk-UA"/>
        </w:rPr>
        <w:t>Лікувально-оздоровча інфраструктура</w:t>
      </w:r>
      <w:r w:rsidRPr="00462A8F">
        <w:rPr>
          <w:rStyle w:val="hps"/>
          <w:rFonts w:ascii="Times New Roman" w:hAnsi="Times New Roman"/>
          <w:sz w:val="26"/>
          <w:szCs w:val="26"/>
          <w:lang w:val="uk-UA"/>
        </w:rPr>
        <w:t xml:space="preserve"> складається із:</w:t>
      </w:r>
    </w:p>
    <w:p w:rsidR="00EF2033" w:rsidRDefault="00EF2033" w:rsidP="00EF2033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</w:t>
      </w:r>
      <w:r w:rsidRPr="00D72C3F">
        <w:rPr>
          <w:rFonts w:ascii="Times New Roman" w:hAnsi="Times New Roman"/>
          <w:sz w:val="26"/>
          <w:szCs w:val="26"/>
          <w:lang w:val="uk-UA"/>
        </w:rPr>
        <w:t>едичн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коледж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що забезпечує навчання близько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00 </w:t>
      </w:r>
      <w:r>
        <w:rPr>
          <w:rFonts w:ascii="Times New Roman" w:hAnsi="Times New Roman"/>
          <w:sz w:val="26"/>
          <w:szCs w:val="26"/>
          <w:lang w:val="uk-UA"/>
        </w:rPr>
        <w:t>осіб щорічно;</w:t>
      </w:r>
    </w:p>
    <w:p w:rsidR="00EF2033" w:rsidRDefault="00EF2033" w:rsidP="00EF2033">
      <w:pPr>
        <w:pStyle w:val="a3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</w:t>
      </w:r>
      <w:r w:rsidRPr="00D72C3F">
        <w:rPr>
          <w:rFonts w:ascii="Times New Roman" w:hAnsi="Times New Roman"/>
          <w:sz w:val="26"/>
          <w:szCs w:val="26"/>
          <w:lang w:val="uk-UA"/>
        </w:rPr>
        <w:t>ослідницьк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інститут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професора В.І.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Козявкіна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що </w:t>
      </w:r>
      <w:r w:rsidRPr="00D72C3F">
        <w:rPr>
          <w:rFonts w:ascii="Times New Roman" w:hAnsi="Times New Roman"/>
          <w:sz w:val="26"/>
          <w:szCs w:val="26"/>
          <w:lang w:val="uk-UA"/>
        </w:rPr>
        <w:t>спів</w:t>
      </w:r>
      <w:r>
        <w:rPr>
          <w:rFonts w:ascii="Times New Roman" w:hAnsi="Times New Roman"/>
          <w:sz w:val="26"/>
          <w:szCs w:val="26"/>
          <w:lang w:val="uk-UA"/>
        </w:rPr>
        <w:t>працюватиме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з </w:t>
      </w:r>
      <w:r>
        <w:rPr>
          <w:rFonts w:ascii="Times New Roman" w:hAnsi="Times New Roman"/>
          <w:sz w:val="26"/>
          <w:szCs w:val="26"/>
          <w:lang w:val="uk-UA"/>
        </w:rPr>
        <w:t>м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едичним коледжем в рамках дослідницьких проектів, де лікарі </w:t>
      </w:r>
      <w:r>
        <w:rPr>
          <w:rFonts w:ascii="Times New Roman" w:hAnsi="Times New Roman"/>
          <w:sz w:val="26"/>
          <w:szCs w:val="26"/>
          <w:lang w:val="uk-UA"/>
        </w:rPr>
        <w:t>інституту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будуть працювати як викладачі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EF2033" w:rsidRPr="00BA32A0" w:rsidRDefault="00EF2033" w:rsidP="00EF2033">
      <w:pPr>
        <w:pStyle w:val="a3"/>
        <w:numPr>
          <w:ilvl w:val="0"/>
          <w:numId w:val="2"/>
        </w:numPr>
        <w:spacing w:after="0" w:line="360" w:lineRule="auto"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 w:rsidRPr="00B946BA">
        <w:rPr>
          <w:rStyle w:val="hps"/>
          <w:rFonts w:ascii="Times New Roman" w:hAnsi="Times New Roman"/>
          <w:sz w:val="26"/>
          <w:szCs w:val="26"/>
          <w:lang w:val="uk-UA"/>
        </w:rPr>
        <w:t xml:space="preserve">лікувально-профілактичного закладу, що складається із </w:t>
      </w:r>
      <w:r w:rsidRPr="00BA32A0">
        <w:rPr>
          <w:rFonts w:ascii="Times New Roman" w:hAnsi="Times New Roman"/>
          <w:sz w:val="26"/>
          <w:szCs w:val="26"/>
          <w:lang w:val="uk-UA"/>
        </w:rPr>
        <w:t>діагностичного підрозділу, реабіліт</w:t>
      </w:r>
      <w:r>
        <w:rPr>
          <w:rFonts w:ascii="Times New Roman" w:hAnsi="Times New Roman"/>
          <w:sz w:val="26"/>
          <w:szCs w:val="26"/>
          <w:lang w:val="uk-UA"/>
        </w:rPr>
        <w:t>аційної клініки, басейнів з міне</w:t>
      </w:r>
      <w:r w:rsidRPr="00BA32A0">
        <w:rPr>
          <w:rFonts w:ascii="Times New Roman" w:hAnsi="Times New Roman"/>
          <w:sz w:val="26"/>
          <w:szCs w:val="26"/>
          <w:lang w:val="uk-UA"/>
        </w:rPr>
        <w:t xml:space="preserve">ральними водами, приміщеннями для </w:t>
      </w:r>
      <w:proofErr w:type="spellStart"/>
      <w:r w:rsidRPr="00BA32A0">
        <w:rPr>
          <w:rFonts w:ascii="Times New Roman" w:hAnsi="Times New Roman"/>
          <w:sz w:val="26"/>
          <w:szCs w:val="26"/>
          <w:lang w:val="uk-UA"/>
        </w:rPr>
        <w:t>бальнео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A32A0">
        <w:rPr>
          <w:rFonts w:ascii="Times New Roman" w:hAnsi="Times New Roman"/>
          <w:sz w:val="26"/>
          <w:szCs w:val="26"/>
          <w:lang w:val="uk-UA"/>
        </w:rPr>
        <w:t>та гідротерапії, навчально-науков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BA32A0">
        <w:rPr>
          <w:rFonts w:ascii="Times New Roman" w:hAnsi="Times New Roman"/>
          <w:sz w:val="26"/>
          <w:szCs w:val="26"/>
          <w:lang w:val="uk-UA"/>
        </w:rPr>
        <w:t xml:space="preserve"> інституту, 200 кімнат для проживання пацієнтів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EF2033" w:rsidRPr="002479B7" w:rsidRDefault="00EF2033" w:rsidP="00EF2033">
      <w:pPr>
        <w:widowControl w:val="0"/>
        <w:spacing w:after="0"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2479B7">
        <w:rPr>
          <w:rStyle w:val="hps"/>
          <w:rFonts w:ascii="Times New Roman" w:hAnsi="Times New Roman"/>
          <w:i/>
          <w:sz w:val="26"/>
          <w:szCs w:val="26"/>
          <w:lang w:val="uk-UA"/>
        </w:rPr>
        <w:t>База лікувально-оздоровчої інфраструктури.</w:t>
      </w:r>
      <w:r w:rsidRPr="002479B7">
        <w:rPr>
          <w:rStyle w:val="hps"/>
          <w:rFonts w:ascii="Times New Roman" w:hAnsi="Times New Roman"/>
          <w:sz w:val="26"/>
          <w:szCs w:val="26"/>
          <w:lang w:val="uk-UA"/>
        </w:rPr>
        <w:t xml:space="preserve"> Лікувально-оздоровча інфраструктура створюється на базі:</w:t>
      </w:r>
    </w:p>
    <w:p w:rsidR="00EF2033" w:rsidRDefault="00EF2033" w:rsidP="00EF203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Міжнародної клініки відновного лікування, яка забезпечує створення </w:t>
      </w:r>
      <w:r w:rsidRPr="00D72C3F">
        <w:rPr>
          <w:rFonts w:ascii="Times New Roman" w:hAnsi="Times New Roman"/>
          <w:sz w:val="26"/>
          <w:szCs w:val="26"/>
          <w:lang w:val="uk-UA"/>
        </w:rPr>
        <w:t>наукомістк</w:t>
      </w:r>
      <w:r>
        <w:rPr>
          <w:rFonts w:ascii="Times New Roman" w:hAnsi="Times New Roman"/>
          <w:sz w:val="26"/>
          <w:szCs w:val="26"/>
          <w:lang w:val="uk-UA"/>
        </w:rPr>
        <w:t>ої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медичн</w:t>
      </w:r>
      <w:r>
        <w:rPr>
          <w:rFonts w:ascii="Times New Roman" w:hAnsi="Times New Roman"/>
          <w:sz w:val="26"/>
          <w:szCs w:val="26"/>
          <w:lang w:val="uk-UA"/>
        </w:rPr>
        <w:t>ої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школ</w:t>
      </w:r>
      <w:r>
        <w:rPr>
          <w:rFonts w:ascii="Times New Roman" w:hAnsi="Times New Roman"/>
          <w:sz w:val="26"/>
          <w:szCs w:val="26"/>
          <w:lang w:val="uk-UA"/>
        </w:rPr>
        <w:t>и із кільцевою структурою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медичн</w:t>
      </w:r>
      <w:r>
        <w:rPr>
          <w:rFonts w:ascii="Times New Roman" w:hAnsi="Times New Roman"/>
          <w:sz w:val="26"/>
          <w:szCs w:val="26"/>
          <w:lang w:val="uk-UA"/>
        </w:rPr>
        <w:t>их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досліджен</w:t>
      </w:r>
      <w:r>
        <w:rPr>
          <w:rFonts w:ascii="Times New Roman" w:hAnsi="Times New Roman"/>
          <w:sz w:val="26"/>
          <w:szCs w:val="26"/>
          <w:lang w:val="uk-UA"/>
        </w:rPr>
        <w:t xml:space="preserve">ь – від лабораторій до впровадження в практику лікування </w:t>
      </w:r>
      <w:r w:rsidRPr="00D72C3F">
        <w:rPr>
          <w:rFonts w:ascii="Times New Roman" w:hAnsi="Times New Roman"/>
          <w:sz w:val="26"/>
          <w:szCs w:val="26"/>
          <w:lang w:val="uk-UA"/>
        </w:rPr>
        <w:t>пацієнт</w:t>
      </w:r>
      <w:r>
        <w:rPr>
          <w:rFonts w:ascii="Times New Roman" w:hAnsi="Times New Roman"/>
          <w:sz w:val="26"/>
          <w:szCs w:val="26"/>
          <w:lang w:val="uk-UA"/>
        </w:rPr>
        <w:t>ів;</w:t>
      </w:r>
    </w:p>
    <w:p w:rsidR="00EF2033" w:rsidRDefault="00EF2033" w:rsidP="00EF203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E71C1">
        <w:rPr>
          <w:rFonts w:ascii="Times New Roman" w:hAnsi="Times New Roman"/>
          <w:bCs/>
          <w:sz w:val="26"/>
          <w:szCs w:val="26"/>
          <w:lang w:val="uk-UA"/>
        </w:rPr>
        <w:t>ДУ «Український науково-дослідний інститут медичної реабілітації та курортології» МОЗ України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, який є </w:t>
      </w:r>
      <w:r w:rsidRPr="00AE71C1">
        <w:rPr>
          <w:rFonts w:ascii="Times New Roman" w:hAnsi="Times New Roman"/>
          <w:sz w:val="26"/>
          <w:szCs w:val="26"/>
          <w:lang w:val="uk-UA"/>
        </w:rPr>
        <w:t xml:space="preserve">головною науково-дослідною установою з </w:t>
      </w:r>
      <w:r w:rsidRPr="00AE71C1">
        <w:rPr>
          <w:rFonts w:ascii="Times New Roman" w:hAnsi="Times New Roman"/>
          <w:sz w:val="26"/>
          <w:szCs w:val="26"/>
        </w:rPr>
        <w:t> </w:t>
      </w:r>
      <w:r w:rsidRPr="00AE71C1">
        <w:rPr>
          <w:rFonts w:ascii="Times New Roman" w:hAnsi="Times New Roman"/>
          <w:sz w:val="26"/>
          <w:szCs w:val="26"/>
          <w:lang w:val="uk-UA"/>
        </w:rPr>
        <w:t>медичних проблем реабілітації та курортології, бальнеологічної оцінки, стандартизації природних лікувальних ресурсів та лікувальних засобів, питних та штучно-мінералізов</w:t>
      </w:r>
      <w:r>
        <w:rPr>
          <w:rFonts w:ascii="Times New Roman" w:hAnsi="Times New Roman"/>
          <w:sz w:val="26"/>
          <w:szCs w:val="26"/>
          <w:lang w:val="uk-UA"/>
        </w:rPr>
        <w:t>аних вод та напоїв на їх основі;</w:t>
      </w:r>
    </w:p>
    <w:p w:rsidR="00EF2033" w:rsidRDefault="00EF2033" w:rsidP="00EF203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AE71C1">
        <w:rPr>
          <w:rFonts w:ascii="Times New Roman" w:hAnsi="Times New Roman"/>
          <w:sz w:val="26"/>
          <w:szCs w:val="26"/>
          <w:lang w:val="uk-UA"/>
        </w:rPr>
        <w:t xml:space="preserve">дослідницького інституту професора В.І. </w:t>
      </w:r>
      <w:proofErr w:type="spellStart"/>
      <w:r w:rsidRPr="00AE71C1">
        <w:rPr>
          <w:rFonts w:ascii="Times New Roman" w:hAnsi="Times New Roman"/>
          <w:sz w:val="26"/>
          <w:szCs w:val="26"/>
          <w:lang w:val="uk-UA"/>
        </w:rPr>
        <w:t>Козявкіна</w:t>
      </w:r>
      <w:proofErr w:type="spellEnd"/>
      <w:r w:rsidRPr="00AE71C1">
        <w:rPr>
          <w:rFonts w:ascii="Times New Roman" w:hAnsi="Times New Roman"/>
          <w:sz w:val="26"/>
          <w:szCs w:val="26"/>
          <w:lang w:val="uk-UA"/>
        </w:rPr>
        <w:t xml:space="preserve"> з питань відновного лікування хворих з дитячим церебральним паралічем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EF2033" w:rsidRPr="009377BB" w:rsidRDefault="00EF2033" w:rsidP="00EF203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9377BB">
        <w:rPr>
          <w:rFonts w:ascii="Times New Roman" w:hAnsi="Times New Roman"/>
          <w:sz w:val="26"/>
          <w:szCs w:val="26"/>
          <w:lang w:val="uk-UA"/>
        </w:rPr>
        <w:t>ДУ «Науково-практичний медичний центр «Реабілітація» МОЗ України; ДУ «Український науково-дослідний інститут дитячої курортології та фізіотерапії» МОЗ України</w:t>
      </w:r>
      <w:r>
        <w:rPr>
          <w:rFonts w:ascii="Times New Roman" w:hAnsi="Times New Roman"/>
          <w:sz w:val="26"/>
          <w:szCs w:val="26"/>
          <w:lang w:val="uk-UA"/>
        </w:rPr>
        <w:t xml:space="preserve">;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ДЗ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«Науково-практичний медичний реабілітаційно-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діагностичний центр»; ДУ «Український державний науково-дослідний медико-соціальних проблем інвалідності» МОЗ України з метою наукового та практичного співробітництва у дослідженні проблем реабілітаційного лікування. </w:t>
      </w:r>
    </w:p>
    <w:p w:rsidR="00EF2033" w:rsidRPr="00AE71C1" w:rsidRDefault="00EF2033" w:rsidP="00EF2033">
      <w:pPr>
        <w:widowControl w:val="0"/>
        <w:spacing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AE71C1">
        <w:rPr>
          <w:rStyle w:val="hps"/>
          <w:rFonts w:ascii="Times New Roman" w:hAnsi="Times New Roman"/>
          <w:i/>
          <w:sz w:val="26"/>
          <w:szCs w:val="26"/>
          <w:lang w:val="uk-UA"/>
        </w:rPr>
        <w:t>Узгодження інтересів зацікавлених сторін.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 xml:space="preserve"> У місті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06EF">
        <w:rPr>
          <w:rFonts w:ascii="Times New Roman" w:hAnsi="Times New Roman"/>
          <w:i/>
          <w:sz w:val="26"/>
          <w:szCs w:val="26"/>
          <w:lang w:val="uk-UA"/>
        </w:rPr>
        <w:t>«</w:t>
      </w:r>
      <w:proofErr w:type="spellStart"/>
      <w:r w:rsidRPr="008D06EF">
        <w:rPr>
          <w:rFonts w:ascii="Times New Roman" w:hAnsi="Times New Roman"/>
          <w:i/>
          <w:sz w:val="26"/>
          <w:szCs w:val="26"/>
          <w:lang w:val="uk-UA"/>
        </w:rPr>
        <w:t>ІnterMedical-EcoCity</w:t>
      </w:r>
      <w:proofErr w:type="spellEnd"/>
      <w:r w:rsidRPr="008D06EF">
        <w:rPr>
          <w:rFonts w:ascii="Times New Roman" w:hAnsi="Times New Roman"/>
          <w:i/>
          <w:sz w:val="26"/>
          <w:szCs w:val="26"/>
          <w:lang w:val="uk-UA"/>
        </w:rPr>
        <w:t>»</w:t>
      </w:r>
      <w:r w:rsidRPr="008D06E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встановлюються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унікальні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партнерські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відносини з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власниками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земель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представниками інших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місцевих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регіональних та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державних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органів влади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членами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груп за інтересами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, що забезпечує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успішне створення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громади.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Партнерство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передбачає розробку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генерального плану та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технічне проектування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об’єктів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інфраструктури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розробку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і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реалізацію фінансової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стратегії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для створення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державних об’єктів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підготовку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міського дизайну та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AE71C1">
        <w:rPr>
          <w:rStyle w:val="hps"/>
          <w:rFonts w:ascii="Times New Roman" w:hAnsi="Times New Roman"/>
          <w:sz w:val="26"/>
          <w:szCs w:val="26"/>
          <w:lang w:val="uk-UA"/>
        </w:rPr>
        <w:t>плану землекористування</w:t>
      </w:r>
      <w:r w:rsidRPr="00AE71C1">
        <w:rPr>
          <w:rStyle w:val="longtext"/>
          <w:rFonts w:ascii="Times New Roman" w:hAnsi="Times New Roman"/>
          <w:sz w:val="26"/>
          <w:szCs w:val="26"/>
          <w:lang w:val="uk-UA"/>
        </w:rPr>
        <w:t>.</w:t>
      </w:r>
    </w:p>
    <w:p w:rsidR="00EF2033" w:rsidRDefault="00EF2033" w:rsidP="00EF203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7D3657">
        <w:rPr>
          <w:rFonts w:ascii="Times New Roman" w:hAnsi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5pt;margin-top:-170.55pt;width:38.55pt;height:27.6pt;z-index:251660288" stroked="f">
            <v:textbox>
              <w:txbxContent>
                <w:p w:rsidR="00EF2033" w:rsidRPr="00717880" w:rsidRDefault="00EF2033" w:rsidP="00EF2033">
                  <w:pPr>
                    <w:rPr>
                      <w:lang w:val="uk-UA"/>
                    </w:rPr>
                  </w:pPr>
                  <w:r w:rsidRPr="00717880">
                    <w:rPr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39</w:t>
                  </w:r>
                </w:p>
              </w:txbxContent>
            </v:textbox>
          </v:shape>
        </w:pict>
      </w:r>
      <w:r w:rsidRPr="00B30A7F">
        <w:rPr>
          <w:rFonts w:ascii="Times New Roman" w:eastAsia="Calibri" w:hAnsi="Times New Roman"/>
          <w:i/>
          <w:sz w:val="26"/>
          <w:szCs w:val="26"/>
          <w:lang w:val="uk-UA"/>
        </w:rPr>
        <w:t>Передумови створення</w:t>
      </w:r>
      <w:r w:rsidRPr="00944A6E">
        <w:rPr>
          <w:rFonts w:ascii="Times New Roman" w:eastAsia="Calibri" w:hAnsi="Times New Roman"/>
          <w:sz w:val="26"/>
          <w:szCs w:val="26"/>
          <w:lang w:val="uk-UA"/>
        </w:rPr>
        <w:t>.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Основною передумовою створення реабілітаційного містечка </w:t>
      </w:r>
      <w:r w:rsidRPr="008D06EF">
        <w:rPr>
          <w:rFonts w:ascii="Times New Roman" w:hAnsi="Times New Roman"/>
          <w:i/>
          <w:sz w:val="26"/>
          <w:szCs w:val="26"/>
          <w:lang w:val="uk-UA"/>
        </w:rPr>
        <w:t>«</w:t>
      </w:r>
      <w:proofErr w:type="spellStart"/>
      <w:r w:rsidRPr="008D06EF">
        <w:rPr>
          <w:rFonts w:ascii="Times New Roman" w:hAnsi="Times New Roman"/>
          <w:i/>
          <w:sz w:val="26"/>
          <w:szCs w:val="26"/>
          <w:lang w:val="uk-UA"/>
        </w:rPr>
        <w:t>ІnterMedical-EcoCity</w:t>
      </w:r>
      <w:proofErr w:type="spellEnd"/>
      <w:r w:rsidRPr="008D06EF">
        <w:rPr>
          <w:rFonts w:ascii="Times New Roman" w:hAnsi="Times New Roman"/>
          <w:i/>
          <w:sz w:val="26"/>
          <w:szCs w:val="26"/>
          <w:lang w:val="uk-UA"/>
        </w:rPr>
        <w:t>»</w:t>
      </w:r>
      <w:r>
        <w:rPr>
          <w:rFonts w:ascii="Times New Roman" w:hAnsi="Times New Roman"/>
          <w:i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є високий науково-дослідний медичний потенціал </w:t>
      </w:r>
      <w:r>
        <w:rPr>
          <w:rFonts w:ascii="Times New Roman" w:hAnsi="Times New Roman"/>
          <w:sz w:val="26"/>
          <w:szCs w:val="26"/>
          <w:lang w:val="uk-UA"/>
        </w:rPr>
        <w:t>Міжнародної клініки відновного лікування</w:t>
      </w:r>
      <w:r>
        <w:rPr>
          <w:rFonts w:ascii="Times New Roman" w:eastAsia="Calibri" w:hAnsi="Times New Roman"/>
          <w:sz w:val="26"/>
          <w:szCs w:val="26"/>
          <w:lang w:val="uk-UA"/>
        </w:rPr>
        <w:t>.</w:t>
      </w:r>
    </w:p>
    <w:p w:rsidR="00EF2033" w:rsidRDefault="00EF2033" w:rsidP="00EF203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2C797C">
        <w:rPr>
          <w:rFonts w:ascii="Times New Roman" w:eastAsia="Calibri" w:hAnsi="Times New Roman"/>
          <w:i/>
          <w:sz w:val="26"/>
          <w:szCs w:val="26"/>
          <w:lang w:val="uk-UA"/>
        </w:rPr>
        <w:t>Умови успішного функціонування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. Основними умовами, що забезпечують успішність реабілітаційного містечка </w:t>
      </w:r>
      <w:r w:rsidRPr="008D06EF">
        <w:rPr>
          <w:rFonts w:ascii="Times New Roman" w:hAnsi="Times New Roman"/>
          <w:i/>
          <w:sz w:val="26"/>
          <w:szCs w:val="26"/>
          <w:lang w:val="uk-UA"/>
        </w:rPr>
        <w:t>«</w:t>
      </w:r>
      <w:proofErr w:type="spellStart"/>
      <w:r w:rsidRPr="008D06EF">
        <w:rPr>
          <w:rFonts w:ascii="Times New Roman" w:hAnsi="Times New Roman"/>
          <w:i/>
          <w:sz w:val="26"/>
          <w:szCs w:val="26"/>
          <w:lang w:val="uk-UA"/>
        </w:rPr>
        <w:t>ІnterMedical-EcoCity»</w:t>
      </w:r>
      <w:r>
        <w:rPr>
          <w:rFonts w:ascii="Times New Roman" w:eastAsia="Calibri" w:hAnsi="Times New Roman"/>
          <w:sz w:val="26"/>
          <w:szCs w:val="26"/>
          <w:lang w:val="uk-UA"/>
        </w:rPr>
        <w:t>є</w:t>
      </w:r>
      <w:proofErr w:type="spellEnd"/>
      <w:r>
        <w:rPr>
          <w:rFonts w:ascii="Times New Roman" w:eastAsia="Calibri" w:hAnsi="Times New Roman"/>
          <w:sz w:val="26"/>
          <w:szCs w:val="26"/>
          <w:lang w:val="uk-UA"/>
        </w:rPr>
        <w:t>:</w:t>
      </w:r>
    </w:p>
    <w:p w:rsidR="00EF2033" w:rsidRDefault="00EF2033" w:rsidP="00EF203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системність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вертикальної реінтеграції </w:t>
      </w:r>
      <w:r>
        <w:rPr>
          <w:rFonts w:ascii="Times New Roman" w:eastAsia="Calibri" w:hAnsi="Times New Roman"/>
          <w:sz w:val="26"/>
          <w:szCs w:val="26"/>
          <w:lang w:val="uk-UA"/>
        </w:rPr>
        <w:t>медичних установ;</w:t>
      </w:r>
    </w:p>
    <w:p w:rsidR="00EF2033" w:rsidRDefault="00EF2033" w:rsidP="00EF203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державне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початкове фінансування</w:t>
      </w:r>
      <w:r>
        <w:rPr>
          <w:rFonts w:ascii="Times New Roman" w:eastAsia="Calibri" w:hAnsi="Times New Roman"/>
          <w:sz w:val="26"/>
          <w:szCs w:val="26"/>
          <w:lang w:val="uk-UA"/>
        </w:rPr>
        <w:t>;</w:t>
      </w:r>
    </w:p>
    <w:p w:rsidR="00EF2033" w:rsidRDefault="00EF2033" w:rsidP="00EF203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ефективна співпраця з відомими науково-дослідними медичними установами;</w:t>
      </w:r>
    </w:p>
    <w:p w:rsidR="00EF2033" w:rsidRDefault="00EF2033" w:rsidP="00EF203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створення найкращих умов для професійної діяльності фахівців;</w:t>
      </w:r>
    </w:p>
    <w:p w:rsidR="00EF2033" w:rsidRDefault="00EF2033" w:rsidP="00EF203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розширення співпраці з офіційними органами, бізнес-структурами та громадськими організаціями;</w:t>
      </w:r>
    </w:p>
    <w:p w:rsidR="00EF2033" w:rsidRPr="006128D5" w:rsidRDefault="00EF2033" w:rsidP="00EF2033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ініціативність місцевих органів влади.</w:t>
      </w:r>
    </w:p>
    <w:p w:rsidR="00000000" w:rsidRDefault="00EF203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BCB"/>
    <w:multiLevelType w:val="hybridMultilevel"/>
    <w:tmpl w:val="C1766BBE"/>
    <w:lvl w:ilvl="0" w:tplc="EE80237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42A7A"/>
    <w:multiLevelType w:val="hybridMultilevel"/>
    <w:tmpl w:val="DE9EE74A"/>
    <w:lvl w:ilvl="0" w:tplc="EE80237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2033"/>
    <w:rsid w:val="00EF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ongtext">
    <w:name w:val="long_text"/>
    <w:basedOn w:val="a0"/>
    <w:rsid w:val="00EF2033"/>
  </w:style>
  <w:style w:type="character" w:customStyle="1" w:styleId="hps">
    <w:name w:val="hps"/>
    <w:basedOn w:val="a0"/>
    <w:rsid w:val="00EF2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2013-08-08T10:39:00Z</dcterms:created>
  <dcterms:modified xsi:type="dcterms:W3CDTF">2013-08-08T10:39:00Z</dcterms:modified>
</cp:coreProperties>
</file>