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9" w:rsidRDefault="008F2289">
      <w:pPr>
        <w:rPr>
          <w:lang w:val="uk-UA"/>
        </w:rPr>
      </w:pPr>
    </w:p>
    <w:p w:rsidR="00BE7362" w:rsidRDefault="00BE7362">
      <w:pPr>
        <w:rPr>
          <w:lang w:val="uk-UA"/>
        </w:rPr>
      </w:pPr>
      <w:r>
        <w:rPr>
          <w:rFonts w:ascii="Verdana" w:eastAsia="Times New Roman" w:hAnsi="Verdana" w:cs="Times New Roman"/>
          <w:color w:val="333333"/>
          <w:sz w:val="27"/>
          <w:szCs w:val="27"/>
          <w:lang w:val="uk-UA" w:eastAsia="ru-RU"/>
        </w:rPr>
        <w:t>П</w:t>
      </w:r>
      <w:r w:rsidRPr="00BE7362">
        <w:rPr>
          <w:rFonts w:ascii="Verdana" w:eastAsia="Times New Roman" w:hAnsi="Verdana" w:cs="Times New Roman"/>
          <w:color w:val="333333"/>
          <w:sz w:val="27"/>
          <w:szCs w:val="27"/>
          <w:lang w:eastAsia="ru-RU"/>
        </w:rPr>
        <w:t>рограм</w:t>
      </w:r>
      <w:r>
        <w:rPr>
          <w:rFonts w:ascii="Verdana" w:eastAsia="Times New Roman" w:hAnsi="Verdana" w:cs="Times New Roman"/>
          <w:color w:val="333333"/>
          <w:sz w:val="27"/>
          <w:szCs w:val="27"/>
          <w:lang w:val="uk-UA" w:eastAsia="ru-RU"/>
        </w:rPr>
        <w:t>а</w:t>
      </w:r>
      <w:r w:rsidRPr="00BE7362">
        <w:rPr>
          <w:rFonts w:ascii="Verdana" w:eastAsia="Times New Roman" w:hAnsi="Verdana" w:cs="Times New Roman"/>
          <w:color w:val="333333"/>
          <w:sz w:val="27"/>
          <w:szCs w:val="27"/>
          <w:lang w:eastAsia="ru-RU"/>
        </w:rPr>
        <w:t xml:space="preserve"> боротьби з гіпертензіями в Україні</w:t>
      </w:r>
    </w:p>
    <w:p w:rsidR="00BE7362" w:rsidRDefault="00BE7362">
      <w:pPr>
        <w:rPr>
          <w:lang w:val="uk-UA"/>
        </w:rPr>
      </w:pPr>
      <w:hyperlink r:id="rId5" w:history="1">
        <w:r w:rsidRPr="00CF7995">
          <w:rPr>
            <w:rStyle w:val="a3"/>
            <w:lang w:val="uk-UA"/>
          </w:rPr>
          <w:t>http://www.ukrcardio.org/journal.php/article/539</w:t>
        </w:r>
      </w:hyperlink>
    </w:p>
    <w:p w:rsidR="00BE7362" w:rsidRPr="00BE7362" w:rsidRDefault="00BE7362" w:rsidP="00BE7362">
      <w:pPr>
        <w:spacing w:after="0" w:line="240" w:lineRule="auto"/>
        <w:jc w:val="center"/>
        <w:rPr>
          <w:rFonts w:ascii="Verdana" w:eastAsia="Times New Roman" w:hAnsi="Verdana" w:cs="Times New Roman"/>
          <w:color w:val="333333"/>
          <w:sz w:val="15"/>
          <w:szCs w:val="15"/>
          <w:lang w:val="en-US" w:eastAsia="ru-RU"/>
        </w:rPr>
      </w:pPr>
      <w:r w:rsidRPr="00BE7362">
        <w:rPr>
          <w:rFonts w:ascii="Arial" w:eastAsia="Times New Roman" w:hAnsi="Arial" w:cs="Arial"/>
          <w:b/>
          <w:bCs/>
          <w:color w:val="BF0000"/>
          <w:sz w:val="20"/>
          <w:szCs w:val="20"/>
          <w:lang w:val="en-US" w:eastAsia="ru-RU"/>
        </w:rPr>
        <w:t>12.2010</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val="en-US" w:eastAsia="ru-RU"/>
        </w:rPr>
      </w:pPr>
      <w:r w:rsidRPr="00BE7362">
        <w:rPr>
          <w:rFonts w:ascii="Verdana" w:eastAsia="Times New Roman" w:hAnsi="Verdana" w:cs="Times New Roman"/>
          <w:b/>
          <w:bCs/>
          <w:color w:val="333333"/>
          <w:sz w:val="15"/>
          <w:szCs w:val="15"/>
          <w:lang w:val="en-US" w:eastAsia="ru-RU"/>
        </w:rPr>
        <w:t>Implementation of the State programme of fight against arterial hypertension in Ukraine is analyzed as a result of 10-years-old supervision. A problem of arterial hypertension diseases is especially important for Ukraine, because it takes first place in a death rate of cardiovascular diseases and forms the background of development of many cardiovascular diseases and their complications, which are the most frequent reason of death. It is shown that implementation of the prevention programme, directed at fight against different risk factors of arterial hypertension is the real mechanism of working out global problems in the field of health saving and improvement. Real efficacy of the state programme is indicated, as well as the necessity to continue the developed measures during the next years.</w:t>
      </w:r>
    </w:p>
    <w:p w:rsidR="00BE7362" w:rsidRPr="00BE7362" w:rsidRDefault="00BE7362" w:rsidP="00BE7362">
      <w:pPr>
        <w:spacing w:after="0" w:line="240" w:lineRule="auto"/>
        <w:jc w:val="center"/>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27"/>
          <w:szCs w:val="27"/>
          <w:lang w:eastAsia="ru-RU"/>
        </w:rPr>
        <w:t>Виконання</w:t>
      </w:r>
      <w:proofErr w:type="gramStart"/>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Д</w:t>
      </w:r>
      <w:proofErr w:type="gramEnd"/>
      <w:r w:rsidRPr="00BE7362">
        <w:rPr>
          <w:rFonts w:ascii="Verdana" w:eastAsia="Times New Roman" w:hAnsi="Verdana" w:cs="Times New Roman"/>
          <w:color w:val="333333"/>
          <w:sz w:val="27"/>
          <w:szCs w:val="27"/>
          <w:lang w:eastAsia="ru-RU"/>
        </w:rPr>
        <w:t>ержавної</w:t>
      </w:r>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програми</w:t>
      </w:r>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боротьби</w:t>
      </w:r>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з</w:t>
      </w:r>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гіпертензіями</w:t>
      </w:r>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в</w:t>
      </w:r>
      <w:r w:rsidRPr="00BE7362">
        <w:rPr>
          <w:rFonts w:ascii="Verdana" w:eastAsia="Times New Roman" w:hAnsi="Verdana" w:cs="Times New Roman"/>
          <w:color w:val="333333"/>
          <w:sz w:val="27"/>
          <w:szCs w:val="27"/>
          <w:lang w:val="en-US" w:eastAsia="ru-RU"/>
        </w:rPr>
        <w:t xml:space="preserve"> </w:t>
      </w:r>
      <w:r w:rsidRPr="00BE7362">
        <w:rPr>
          <w:rFonts w:ascii="Verdana" w:eastAsia="Times New Roman" w:hAnsi="Verdana" w:cs="Times New Roman"/>
          <w:color w:val="333333"/>
          <w:sz w:val="27"/>
          <w:szCs w:val="27"/>
          <w:lang w:eastAsia="ru-RU"/>
        </w:rPr>
        <w:t>Україні</w:t>
      </w:r>
      <w:r w:rsidRPr="00BE7362">
        <w:rPr>
          <w:rFonts w:ascii="Verdana" w:eastAsia="Times New Roman" w:hAnsi="Verdana" w:cs="Times New Roman"/>
          <w:color w:val="333333"/>
          <w:sz w:val="15"/>
          <w:szCs w:val="15"/>
          <w:lang w:val="en-US" w:eastAsia="ru-RU"/>
        </w:rPr>
        <w:br/>
      </w:r>
      <w:r w:rsidRPr="00BE7362">
        <w:rPr>
          <w:rFonts w:ascii="Verdana" w:eastAsia="Times New Roman" w:hAnsi="Verdana" w:cs="Times New Roman"/>
          <w:color w:val="333333"/>
          <w:sz w:val="15"/>
          <w:szCs w:val="15"/>
          <w:lang w:eastAsia="ru-RU"/>
        </w:rPr>
        <w:t>В</w:t>
      </w:r>
      <w:r w:rsidRPr="00BE7362">
        <w:rPr>
          <w:rFonts w:ascii="Verdana" w:eastAsia="Times New Roman" w:hAnsi="Verdana" w:cs="Times New Roman"/>
          <w:color w:val="333333"/>
          <w:sz w:val="15"/>
          <w:szCs w:val="15"/>
          <w:lang w:val="en-US" w:eastAsia="ru-RU"/>
        </w:rPr>
        <w:t>.</w:t>
      </w:r>
      <w:r w:rsidRPr="00BE7362">
        <w:rPr>
          <w:rFonts w:ascii="Verdana" w:eastAsia="Times New Roman" w:hAnsi="Verdana" w:cs="Times New Roman"/>
          <w:color w:val="333333"/>
          <w:sz w:val="15"/>
          <w:szCs w:val="15"/>
          <w:lang w:eastAsia="ru-RU"/>
        </w:rPr>
        <w:t>М</w:t>
      </w:r>
      <w:r w:rsidRPr="00BE7362">
        <w:rPr>
          <w:rFonts w:ascii="Verdana" w:eastAsia="Times New Roman" w:hAnsi="Verdana" w:cs="Times New Roman"/>
          <w:color w:val="333333"/>
          <w:sz w:val="15"/>
          <w:szCs w:val="15"/>
          <w:lang w:val="en-US" w:eastAsia="ru-RU"/>
        </w:rPr>
        <w:t xml:space="preserve">. </w:t>
      </w:r>
      <w:r w:rsidRPr="00BE7362">
        <w:rPr>
          <w:rFonts w:ascii="Verdana" w:eastAsia="Times New Roman" w:hAnsi="Verdana" w:cs="Times New Roman"/>
          <w:color w:val="333333"/>
          <w:sz w:val="15"/>
          <w:szCs w:val="15"/>
          <w:lang w:eastAsia="ru-RU"/>
        </w:rPr>
        <w:t>Коваленко</w:t>
      </w:r>
      <w:r w:rsidRPr="00BE7362">
        <w:rPr>
          <w:rFonts w:ascii="Verdana" w:eastAsia="Times New Roman" w:hAnsi="Verdana" w:cs="Times New Roman"/>
          <w:color w:val="333333"/>
          <w:sz w:val="15"/>
          <w:szCs w:val="15"/>
          <w:lang w:val="en-US" w:eastAsia="ru-RU"/>
        </w:rPr>
        <w:t xml:space="preserve">, </w:t>
      </w:r>
      <w:r w:rsidRPr="00BE7362">
        <w:rPr>
          <w:rFonts w:ascii="Verdana" w:eastAsia="Times New Roman" w:hAnsi="Verdana" w:cs="Times New Roman"/>
          <w:color w:val="333333"/>
          <w:sz w:val="15"/>
          <w:szCs w:val="15"/>
          <w:lang w:eastAsia="ru-RU"/>
        </w:rPr>
        <w:t>В</w:t>
      </w:r>
      <w:r w:rsidRPr="00BE7362">
        <w:rPr>
          <w:rFonts w:ascii="Verdana" w:eastAsia="Times New Roman" w:hAnsi="Verdana" w:cs="Times New Roman"/>
          <w:color w:val="333333"/>
          <w:sz w:val="15"/>
          <w:szCs w:val="15"/>
          <w:lang w:val="en-US" w:eastAsia="ru-RU"/>
        </w:rPr>
        <w:t>.</w:t>
      </w:r>
      <w:r w:rsidRPr="00BE7362">
        <w:rPr>
          <w:rFonts w:ascii="Verdana" w:eastAsia="Times New Roman" w:hAnsi="Verdana" w:cs="Times New Roman"/>
          <w:color w:val="333333"/>
          <w:sz w:val="15"/>
          <w:szCs w:val="15"/>
          <w:lang w:eastAsia="ru-RU"/>
        </w:rPr>
        <w:t>М</w:t>
      </w:r>
      <w:r w:rsidRPr="00BE7362">
        <w:rPr>
          <w:rFonts w:ascii="Verdana" w:eastAsia="Times New Roman" w:hAnsi="Verdana" w:cs="Times New Roman"/>
          <w:color w:val="333333"/>
          <w:sz w:val="15"/>
          <w:szCs w:val="15"/>
          <w:lang w:val="en-US" w:eastAsia="ru-RU"/>
        </w:rPr>
        <w:t xml:space="preserve">. </w:t>
      </w:r>
      <w:r w:rsidRPr="00BE7362">
        <w:rPr>
          <w:rFonts w:ascii="Verdana" w:eastAsia="Times New Roman" w:hAnsi="Verdana" w:cs="Times New Roman"/>
          <w:color w:val="333333"/>
          <w:sz w:val="15"/>
          <w:szCs w:val="15"/>
          <w:lang w:eastAsia="ru-RU"/>
        </w:rPr>
        <w:t>Корнацький</w:t>
      </w:r>
      <w:r w:rsidRPr="00BE7362">
        <w:rPr>
          <w:rFonts w:ascii="Verdana" w:eastAsia="Times New Roman" w:hAnsi="Verdana" w:cs="Times New Roman"/>
          <w:color w:val="333333"/>
          <w:sz w:val="15"/>
          <w:szCs w:val="15"/>
          <w:lang w:val="en-US" w:eastAsia="ru-RU"/>
        </w:rPr>
        <w:br/>
      </w:r>
      <w:r w:rsidRPr="00BE7362">
        <w:rPr>
          <w:rFonts w:ascii="Verdana" w:eastAsia="Times New Roman" w:hAnsi="Verdana" w:cs="Times New Roman"/>
          <w:i/>
          <w:iCs/>
          <w:color w:val="333333"/>
          <w:sz w:val="15"/>
          <w:lang w:eastAsia="ru-RU"/>
        </w:rPr>
        <w:t>Національний</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науковий</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центр</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Інститут</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кардіології</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ім</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акад</w:t>
      </w:r>
      <w:r w:rsidRPr="00BE7362">
        <w:rPr>
          <w:rFonts w:ascii="Verdana" w:eastAsia="Times New Roman" w:hAnsi="Verdana" w:cs="Times New Roman"/>
          <w:i/>
          <w:iCs/>
          <w:color w:val="333333"/>
          <w:sz w:val="15"/>
          <w:lang w:val="en-US" w:eastAsia="ru-RU"/>
        </w:rPr>
        <w:t xml:space="preserve">. </w:t>
      </w:r>
      <w:r w:rsidRPr="00BE7362">
        <w:rPr>
          <w:rFonts w:ascii="Verdana" w:eastAsia="Times New Roman" w:hAnsi="Verdana" w:cs="Times New Roman"/>
          <w:i/>
          <w:iCs/>
          <w:color w:val="333333"/>
          <w:sz w:val="15"/>
          <w:lang w:eastAsia="ru-RU"/>
        </w:rPr>
        <w:t>М.Д. Стражеска» АМН України, м. Київ</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b/>
          <w:bCs/>
          <w:i/>
          <w:iCs/>
          <w:color w:val="333333"/>
          <w:sz w:val="15"/>
          <w:szCs w:val="15"/>
          <w:lang w:eastAsia="ru-RU"/>
        </w:rPr>
        <w:t>КлючовІ слова:</w:t>
      </w:r>
      <w:r w:rsidRPr="00BE7362">
        <w:rPr>
          <w:rFonts w:ascii="Verdana" w:eastAsia="Times New Roman" w:hAnsi="Verdana" w:cs="Times New Roman"/>
          <w:i/>
          <w:iCs/>
          <w:color w:val="333333"/>
          <w:sz w:val="15"/>
          <w:szCs w:val="15"/>
          <w:lang w:eastAsia="ru-RU"/>
        </w:rPr>
        <w:t xml:space="preserve"> хвороби системи кровообігу, поширеність, Державна програма боротьби з гіпертензіями </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24"/>
          <w:szCs w:val="24"/>
          <w:lang w:val="uk-UA" w:eastAsia="ru-RU"/>
        </w:rPr>
      </w:pPr>
      <w:r w:rsidRPr="00BE7362">
        <w:rPr>
          <w:rFonts w:ascii="Verdana" w:eastAsia="Times New Roman" w:hAnsi="Verdana" w:cs="Times New Roman"/>
          <w:color w:val="333333"/>
          <w:sz w:val="24"/>
          <w:szCs w:val="24"/>
          <w:lang w:val="uk-UA" w:eastAsia="ru-RU"/>
        </w:rPr>
        <w:t>Основними медико-соціальними проблемами здоров’я народу України на сучасному етапі є зростання захворюваності та поширеності найбільш соціально значущих хвороб системи кровообігу (ХСК): атеросклерозу, артеріальної гіпертензії (АГ), ішемічної хвороби серця (ІХС), спричинена ними первинна інвалідизація високого рівня, а також значна смертність, особливо осіб працездатного віку, призводить до зменшення тривалості життя громадян.</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ХСК охоплено близько 24,3 </w:t>
      </w:r>
      <w:proofErr w:type="gramStart"/>
      <w:r w:rsidRPr="00BE7362">
        <w:rPr>
          <w:rFonts w:ascii="Verdana" w:eastAsia="Times New Roman" w:hAnsi="Verdana" w:cs="Times New Roman"/>
          <w:color w:val="333333"/>
          <w:sz w:val="15"/>
          <w:szCs w:val="15"/>
          <w:lang w:eastAsia="ru-RU"/>
        </w:rPr>
        <w:t>млн</w:t>
      </w:r>
      <w:proofErr w:type="gramEnd"/>
      <w:r w:rsidRPr="00BE7362">
        <w:rPr>
          <w:rFonts w:ascii="Verdana" w:eastAsia="Times New Roman" w:hAnsi="Verdana" w:cs="Times New Roman"/>
          <w:color w:val="333333"/>
          <w:sz w:val="15"/>
          <w:szCs w:val="15"/>
          <w:lang w:eastAsia="ru-RU"/>
        </w:rPr>
        <w:t xml:space="preserve"> осіб, тобто понад 53 % населення, із них працездатного віку 9,3 млн осіб. Найбільш поширена АГ – 11,7 млн осіб, серед них працездатного віку – 5,0 млн. Зареєстровано 8,5 млн випадків ІХС (серед працездатних – 2,5 млн); понад 50 тис. – інфаркту міокарда, 100 тис. – інсультів. Причиною розвитку тяжких ускладнень, а також смертності є сукупність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ізних факторів ризику.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proofErr w:type="gramStart"/>
      <w:r w:rsidRPr="00BE7362">
        <w:rPr>
          <w:rFonts w:ascii="Verdana" w:eastAsia="Times New Roman" w:hAnsi="Verdana" w:cs="Times New Roman"/>
          <w:color w:val="333333"/>
          <w:sz w:val="15"/>
          <w:szCs w:val="15"/>
          <w:lang w:eastAsia="ru-RU"/>
        </w:rPr>
        <w:t>Досл</w:t>
      </w:r>
      <w:proofErr w:type="gramEnd"/>
      <w:r w:rsidRPr="00BE7362">
        <w:rPr>
          <w:rFonts w:ascii="Verdana" w:eastAsia="Times New Roman" w:hAnsi="Verdana" w:cs="Times New Roman"/>
          <w:color w:val="333333"/>
          <w:sz w:val="15"/>
          <w:szCs w:val="15"/>
          <w:lang w:eastAsia="ru-RU"/>
        </w:rPr>
        <w:t>ідження встановили високу поширеність у популяції таких факторів серцево-судинного ризику, як АГ (56,9 %), дисліпідемії (50,6 %), підвищений індекс маси тіла (44,1 %), різноманітні порушення обміну речовин, у тому числі цукровий діабет (4 %). Клінічна практика показала, що найбільше значення є поєднання декількох факторів ризику.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За останні п’ять років поширеність ХСК серед дорослого населення зросла на 1,9 </w:t>
      </w:r>
      <w:proofErr w:type="gramStart"/>
      <w:r w:rsidRPr="00BE7362">
        <w:rPr>
          <w:rFonts w:ascii="Verdana" w:eastAsia="Times New Roman" w:hAnsi="Verdana" w:cs="Times New Roman"/>
          <w:color w:val="333333"/>
          <w:sz w:val="15"/>
          <w:szCs w:val="15"/>
          <w:lang w:eastAsia="ru-RU"/>
        </w:rPr>
        <w:t>млн</w:t>
      </w:r>
      <w:proofErr w:type="gramEnd"/>
      <w:r w:rsidRPr="00BE7362">
        <w:rPr>
          <w:rFonts w:ascii="Verdana" w:eastAsia="Times New Roman" w:hAnsi="Verdana" w:cs="Times New Roman"/>
          <w:color w:val="333333"/>
          <w:sz w:val="15"/>
          <w:szCs w:val="15"/>
          <w:lang w:eastAsia="ru-RU"/>
        </w:rPr>
        <w:t xml:space="preserve"> осіб (на 5,1 %), а захворюваність зменшилася на 121 000 осіб (-0,3 %). </w:t>
      </w:r>
      <w:proofErr w:type="gramStart"/>
      <w:r w:rsidRPr="00BE7362">
        <w:rPr>
          <w:rFonts w:ascii="Verdana" w:eastAsia="Times New Roman" w:hAnsi="Verdana" w:cs="Times New Roman"/>
          <w:color w:val="333333"/>
          <w:sz w:val="15"/>
          <w:szCs w:val="15"/>
          <w:lang w:eastAsia="ru-RU"/>
        </w:rPr>
        <w:t>Найбільше зросла поширеність гіпертонічної хвороби (ГХ) (9,4 %) та ІХС (8,7 %), а інсультів – навпаки знизилася на 9,8 %, при цьому захворюваність на них зросла на 4,9 %. Серед серцево-судинних хвороб провідними є ГХ, ІХС та цереброваскулярна патологія, частка яких становить відповідно 46,2; 33,8; 12,5 % та 42,1;</w:t>
      </w:r>
      <w:proofErr w:type="gramEnd"/>
      <w:r w:rsidRPr="00BE7362">
        <w:rPr>
          <w:rFonts w:ascii="Verdana" w:eastAsia="Times New Roman" w:hAnsi="Verdana" w:cs="Times New Roman"/>
          <w:color w:val="333333"/>
          <w:sz w:val="15"/>
          <w:szCs w:val="15"/>
          <w:lang w:eastAsia="ru-RU"/>
        </w:rPr>
        <w:t xml:space="preserve"> 28,1; 15,7 %.</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Структура поширеності і захворюваності ХСК серед населення пенсійного віку така ж, як і серед дорослого населення, але спостерігають зростання питомої ваги ІХС та високу частку захворюваності на цереброваскулярну патологію. У людей похилого віку перебіг цих захворювань важчий, часто призводить до ускладнень і смерті, причому кожні наступні </w:t>
      </w:r>
      <w:proofErr w:type="gramStart"/>
      <w:r w:rsidRPr="00BE7362">
        <w:rPr>
          <w:rFonts w:ascii="Verdana" w:eastAsia="Times New Roman" w:hAnsi="Verdana" w:cs="Times New Roman"/>
          <w:color w:val="333333"/>
          <w:sz w:val="15"/>
          <w:szCs w:val="15"/>
          <w:lang w:eastAsia="ru-RU"/>
        </w:rPr>
        <w:t>п’ять</w:t>
      </w:r>
      <w:proofErr w:type="gramEnd"/>
      <w:r w:rsidRPr="00BE7362">
        <w:rPr>
          <w:rFonts w:ascii="Verdana" w:eastAsia="Times New Roman" w:hAnsi="Verdana" w:cs="Times New Roman"/>
          <w:color w:val="333333"/>
          <w:sz w:val="15"/>
          <w:szCs w:val="15"/>
          <w:lang w:eastAsia="ru-RU"/>
        </w:rPr>
        <w:t xml:space="preserve"> років життя смертність на 100 000 населення зростає у 2– 2,5 разу.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Особливо ХСК негативно впливають на здоров’я населення працездатного віку і є провідною причиною інвалідності і смертності. Усі показники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 xml:space="preserve">івня здоров’я є значними для цієї вікової групи. </w:t>
      </w:r>
      <w:proofErr w:type="gramStart"/>
      <w:r w:rsidRPr="00BE7362">
        <w:rPr>
          <w:rFonts w:ascii="Verdana" w:eastAsia="Times New Roman" w:hAnsi="Verdana" w:cs="Times New Roman"/>
          <w:color w:val="333333"/>
          <w:sz w:val="15"/>
          <w:szCs w:val="15"/>
          <w:lang w:eastAsia="ru-RU"/>
        </w:rPr>
        <w:t>Так, питома вага хворих працездатного віку у поширеності та захворюваності на ХСК становить відповідно 36,6 та 50,2 %, ГХ – 43,0 та 57,2 %, ІХС – 29,7 та 45,6%, цереброваскулярні хвороби (ЦВХ) – 21,6 та 33,4 %, інфаркт міокарда – 32,0 %. На кожні 100 000 осіб працездатного віку у 2008 р. вперше виявлено 1 244 065 випадків ХСК, що на</w:t>
      </w:r>
      <w:proofErr w:type="gramEnd"/>
      <w:r w:rsidRPr="00BE7362">
        <w:rPr>
          <w:rFonts w:ascii="Verdana" w:eastAsia="Times New Roman" w:hAnsi="Verdana" w:cs="Times New Roman"/>
          <w:color w:val="333333"/>
          <w:sz w:val="15"/>
          <w:szCs w:val="15"/>
          <w:lang w:eastAsia="ru-RU"/>
        </w:rPr>
        <w:t xml:space="preserve"> 2,3 % більше, ніж у 2005 р. Поширеність ХСК за цей період зросла на 10 %. Найбільшу </w:t>
      </w:r>
      <w:proofErr w:type="gramStart"/>
      <w:r w:rsidRPr="00BE7362">
        <w:rPr>
          <w:rFonts w:ascii="Verdana" w:eastAsia="Times New Roman" w:hAnsi="Verdana" w:cs="Times New Roman"/>
          <w:color w:val="333333"/>
          <w:sz w:val="15"/>
          <w:szCs w:val="15"/>
          <w:lang w:eastAsia="ru-RU"/>
        </w:rPr>
        <w:t>питому</w:t>
      </w:r>
      <w:proofErr w:type="gramEnd"/>
      <w:r w:rsidRPr="00BE7362">
        <w:rPr>
          <w:rFonts w:ascii="Verdana" w:eastAsia="Times New Roman" w:hAnsi="Verdana" w:cs="Times New Roman"/>
          <w:color w:val="333333"/>
          <w:sz w:val="15"/>
          <w:szCs w:val="15"/>
          <w:lang w:eastAsia="ru-RU"/>
        </w:rPr>
        <w:t xml:space="preserve"> вагу має ГХ (53,8 % у поширеності та 46,5 % у захворюваності).</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Незважаючи на поширеність ГХ, за останні роки відзначають зниження первинної інвалідності від цієї патології, що свідчить про дієвість заходів</w:t>
      </w:r>
      <w:proofErr w:type="gramStart"/>
      <w:r w:rsidRPr="00BE7362">
        <w:rPr>
          <w:rFonts w:ascii="Verdana" w:eastAsia="Times New Roman" w:hAnsi="Verdana" w:cs="Times New Roman"/>
          <w:color w:val="333333"/>
          <w:sz w:val="15"/>
          <w:szCs w:val="15"/>
          <w:lang w:eastAsia="ru-RU"/>
        </w:rPr>
        <w:t xml:space="preserve"> Д</w:t>
      </w:r>
      <w:proofErr w:type="gramEnd"/>
      <w:r w:rsidRPr="00BE7362">
        <w:rPr>
          <w:rFonts w:ascii="Verdana" w:eastAsia="Times New Roman" w:hAnsi="Verdana" w:cs="Times New Roman"/>
          <w:color w:val="333333"/>
          <w:sz w:val="15"/>
          <w:szCs w:val="15"/>
          <w:lang w:eastAsia="ru-RU"/>
        </w:rPr>
        <w:t>ержавної програми боротьби із гіпертензіями в Україні.</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На сьогодні про АГ можна говорити як про неінфекційну епідемію, що охопила у ХХ ст. країни </w:t>
      </w:r>
      <w:proofErr w:type="gramStart"/>
      <w:r w:rsidRPr="00BE7362">
        <w:rPr>
          <w:rFonts w:ascii="Verdana" w:eastAsia="Times New Roman" w:hAnsi="Verdana" w:cs="Times New Roman"/>
          <w:color w:val="333333"/>
          <w:sz w:val="15"/>
          <w:szCs w:val="15"/>
          <w:lang w:eastAsia="ru-RU"/>
        </w:rPr>
        <w:t>вс</w:t>
      </w:r>
      <w:proofErr w:type="gramEnd"/>
      <w:r w:rsidRPr="00BE7362">
        <w:rPr>
          <w:rFonts w:ascii="Verdana" w:eastAsia="Times New Roman" w:hAnsi="Verdana" w:cs="Times New Roman"/>
          <w:color w:val="333333"/>
          <w:sz w:val="15"/>
          <w:szCs w:val="15"/>
          <w:lang w:eastAsia="ru-RU"/>
        </w:rPr>
        <w:t xml:space="preserve">ієї планети. Приблизно третина всього дорослого населення </w:t>
      </w:r>
      <w:proofErr w:type="gramStart"/>
      <w:r w:rsidRPr="00BE7362">
        <w:rPr>
          <w:rFonts w:ascii="Verdana" w:eastAsia="Times New Roman" w:hAnsi="Verdana" w:cs="Times New Roman"/>
          <w:color w:val="333333"/>
          <w:sz w:val="15"/>
          <w:szCs w:val="15"/>
          <w:lang w:eastAsia="ru-RU"/>
        </w:rPr>
        <w:t>св</w:t>
      </w:r>
      <w:proofErr w:type="gramEnd"/>
      <w:r w:rsidRPr="00BE7362">
        <w:rPr>
          <w:rFonts w:ascii="Verdana" w:eastAsia="Times New Roman" w:hAnsi="Verdana" w:cs="Times New Roman"/>
          <w:color w:val="333333"/>
          <w:sz w:val="15"/>
          <w:szCs w:val="15"/>
          <w:lang w:eastAsia="ru-RU"/>
        </w:rPr>
        <w:t xml:space="preserve">іту страждає від підвищеного артеріального тиску. Ця проблема </w:t>
      </w:r>
      <w:proofErr w:type="gramStart"/>
      <w:r w:rsidRPr="00BE7362">
        <w:rPr>
          <w:rFonts w:ascii="Verdana" w:eastAsia="Times New Roman" w:hAnsi="Verdana" w:cs="Times New Roman"/>
          <w:color w:val="333333"/>
          <w:sz w:val="15"/>
          <w:szCs w:val="15"/>
          <w:lang w:eastAsia="ru-RU"/>
        </w:rPr>
        <w:t>пос</w:t>
      </w:r>
      <w:proofErr w:type="gramEnd"/>
      <w:r w:rsidRPr="00BE7362">
        <w:rPr>
          <w:rFonts w:ascii="Verdana" w:eastAsia="Times New Roman" w:hAnsi="Verdana" w:cs="Times New Roman"/>
          <w:color w:val="333333"/>
          <w:sz w:val="15"/>
          <w:szCs w:val="15"/>
          <w:lang w:eastAsia="ru-RU"/>
        </w:rPr>
        <w:t>ідає перше місце за внеском у смертність від серцево-судинних захворювань та формує основу для розвитку багатьох ХСК і ускладнень, які і є найбільш частою причиною смерті.</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За результатами </w:t>
      </w:r>
      <w:proofErr w:type="gramStart"/>
      <w:r w:rsidRPr="00BE7362">
        <w:rPr>
          <w:rFonts w:ascii="Verdana" w:eastAsia="Times New Roman" w:hAnsi="Verdana" w:cs="Times New Roman"/>
          <w:color w:val="333333"/>
          <w:sz w:val="15"/>
          <w:szCs w:val="15"/>
          <w:lang w:eastAsia="ru-RU"/>
        </w:rPr>
        <w:t>досл</w:t>
      </w:r>
      <w:proofErr w:type="gramEnd"/>
      <w:r w:rsidRPr="00BE7362">
        <w:rPr>
          <w:rFonts w:ascii="Verdana" w:eastAsia="Times New Roman" w:hAnsi="Verdana" w:cs="Times New Roman"/>
          <w:color w:val="333333"/>
          <w:sz w:val="15"/>
          <w:szCs w:val="15"/>
          <w:lang w:eastAsia="ru-RU"/>
        </w:rPr>
        <w:t xml:space="preserve">іджень учених Міжнародного товариства з вивчення АГ, близько 54 % всіх інсультів, 47 % випадків ІХС і 25 % інших серцево-судинних захворювань зумовлені наявністю АГ. У поєднанні з такими поширеними факторами ризику, як </w:t>
      </w:r>
      <w:r w:rsidRPr="00BE7362">
        <w:rPr>
          <w:rFonts w:ascii="Verdana" w:eastAsia="Times New Roman" w:hAnsi="Verdana" w:cs="Times New Roman"/>
          <w:color w:val="333333"/>
          <w:sz w:val="15"/>
          <w:szCs w:val="15"/>
          <w:lang w:eastAsia="ru-RU"/>
        </w:rPr>
        <w:lastRenderedPageBreak/>
        <w:t>дислі</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 xml:space="preserve">ідемія, надлишкова маса тіла, куріння і гіподинамія, АГ є причиною не менше 70–75 % усіх інсультів і 80–90 % випадків ІХС. У наш час близько 8 </w:t>
      </w:r>
      <w:proofErr w:type="gramStart"/>
      <w:r w:rsidRPr="00BE7362">
        <w:rPr>
          <w:rFonts w:ascii="Verdana" w:eastAsia="Times New Roman" w:hAnsi="Verdana" w:cs="Times New Roman"/>
          <w:color w:val="333333"/>
          <w:sz w:val="15"/>
          <w:szCs w:val="15"/>
          <w:lang w:eastAsia="ru-RU"/>
        </w:rPr>
        <w:t>млн</w:t>
      </w:r>
      <w:proofErr w:type="gramEnd"/>
      <w:r w:rsidRPr="00BE7362">
        <w:rPr>
          <w:rFonts w:ascii="Verdana" w:eastAsia="Times New Roman" w:hAnsi="Verdana" w:cs="Times New Roman"/>
          <w:color w:val="333333"/>
          <w:sz w:val="15"/>
          <w:szCs w:val="15"/>
          <w:lang w:eastAsia="ru-RU"/>
        </w:rPr>
        <w:t xml:space="preserve"> смертей асоційовано з АГ.</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АГ найбільш поширена у старших вікових групах, і більшість «гіпертоні</w:t>
      </w:r>
      <w:proofErr w:type="gramStart"/>
      <w:r w:rsidRPr="00BE7362">
        <w:rPr>
          <w:rFonts w:ascii="Verdana" w:eastAsia="Times New Roman" w:hAnsi="Verdana" w:cs="Times New Roman"/>
          <w:color w:val="333333"/>
          <w:sz w:val="15"/>
          <w:szCs w:val="15"/>
          <w:lang w:eastAsia="ru-RU"/>
        </w:rPr>
        <w:t>к</w:t>
      </w:r>
      <w:proofErr w:type="gramEnd"/>
      <w:r w:rsidRPr="00BE7362">
        <w:rPr>
          <w:rFonts w:ascii="Verdana" w:eastAsia="Times New Roman" w:hAnsi="Verdana" w:cs="Times New Roman"/>
          <w:color w:val="333333"/>
          <w:sz w:val="15"/>
          <w:szCs w:val="15"/>
          <w:lang w:eastAsia="ru-RU"/>
        </w:rPr>
        <w:t xml:space="preserve">ів» – люди похилого віку. В епідеміологічному </w:t>
      </w:r>
      <w:proofErr w:type="gramStart"/>
      <w:r w:rsidRPr="00BE7362">
        <w:rPr>
          <w:rFonts w:ascii="Verdana" w:eastAsia="Times New Roman" w:hAnsi="Verdana" w:cs="Times New Roman"/>
          <w:color w:val="333333"/>
          <w:sz w:val="15"/>
          <w:szCs w:val="15"/>
          <w:lang w:eastAsia="ru-RU"/>
        </w:rPr>
        <w:t>досл</w:t>
      </w:r>
      <w:proofErr w:type="gramEnd"/>
      <w:r w:rsidRPr="00BE7362">
        <w:rPr>
          <w:rFonts w:ascii="Verdana" w:eastAsia="Times New Roman" w:hAnsi="Verdana" w:cs="Times New Roman"/>
          <w:color w:val="333333"/>
          <w:sz w:val="15"/>
          <w:szCs w:val="15"/>
          <w:lang w:eastAsia="ru-RU"/>
        </w:rPr>
        <w:t xml:space="preserve">ідженні, дані якого опубліковані в журналі «The Lancet», показано, що з кожним десятиліттям життя поширеність АГ збільшується приблизно на 10 %, досягаючи максимуму (75 %) в осіб віком більше 70 років. При поєднанні АГ та ІХС, яке спостерігають більш ніж у 60 % пацієнтів, значно зростає ризик </w:t>
      </w:r>
      <w:proofErr w:type="gramStart"/>
      <w:r w:rsidRPr="00BE7362">
        <w:rPr>
          <w:rFonts w:ascii="Verdana" w:eastAsia="Times New Roman" w:hAnsi="Verdana" w:cs="Times New Roman"/>
          <w:color w:val="333333"/>
          <w:sz w:val="15"/>
          <w:szCs w:val="15"/>
          <w:lang w:eastAsia="ru-RU"/>
        </w:rPr>
        <w:t>таких</w:t>
      </w:r>
      <w:proofErr w:type="gramEnd"/>
      <w:r w:rsidRPr="00BE7362">
        <w:rPr>
          <w:rFonts w:ascii="Verdana" w:eastAsia="Times New Roman" w:hAnsi="Verdana" w:cs="Times New Roman"/>
          <w:color w:val="333333"/>
          <w:sz w:val="15"/>
          <w:szCs w:val="15"/>
          <w:lang w:eastAsia="ru-RU"/>
        </w:rPr>
        <w:t xml:space="preserve"> небезпечних для життя ускладнень, як інфаркт міокарда, інсульт, серцева недостатність. У 2008 р. зареєстровано всього 6 648 820 осіб пенсійного віку з ГХ (</w:t>
      </w:r>
      <w:proofErr w:type="gramStart"/>
      <w:r w:rsidRPr="00BE7362">
        <w:rPr>
          <w:rFonts w:ascii="Verdana" w:eastAsia="Times New Roman" w:hAnsi="Verdana" w:cs="Times New Roman"/>
          <w:color w:val="333333"/>
          <w:sz w:val="15"/>
          <w:szCs w:val="15"/>
          <w:lang w:eastAsia="ru-RU"/>
        </w:rPr>
        <w:t>вс</w:t>
      </w:r>
      <w:proofErr w:type="gramEnd"/>
      <w:r w:rsidRPr="00BE7362">
        <w:rPr>
          <w:rFonts w:ascii="Verdana" w:eastAsia="Times New Roman" w:hAnsi="Verdana" w:cs="Times New Roman"/>
          <w:color w:val="333333"/>
          <w:sz w:val="15"/>
          <w:szCs w:val="15"/>
          <w:lang w:eastAsia="ru-RU"/>
        </w:rPr>
        <w:t xml:space="preserve">і форми). Цей показник становить 59 867,6 на 100 000 населення. Серед населення працездатного віку </w:t>
      </w:r>
      <w:proofErr w:type="gramStart"/>
      <w:r w:rsidRPr="00BE7362">
        <w:rPr>
          <w:rFonts w:ascii="Verdana" w:eastAsia="Times New Roman" w:hAnsi="Verdana" w:cs="Times New Roman"/>
          <w:color w:val="333333"/>
          <w:sz w:val="15"/>
          <w:szCs w:val="15"/>
          <w:lang w:eastAsia="ru-RU"/>
        </w:rPr>
        <w:t>хвор</w:t>
      </w:r>
      <w:proofErr w:type="gramEnd"/>
      <w:r w:rsidRPr="00BE7362">
        <w:rPr>
          <w:rFonts w:ascii="Verdana" w:eastAsia="Times New Roman" w:hAnsi="Verdana" w:cs="Times New Roman"/>
          <w:color w:val="333333"/>
          <w:sz w:val="15"/>
          <w:szCs w:val="15"/>
          <w:lang w:eastAsia="ru-RU"/>
        </w:rPr>
        <w:t>іють 5 021 591 (17 924,4 на 100 000 населення). Таким чином, у молодому віці поширеність АГ нижча, але чим раніше вона розвивається, тим суттє</w:t>
      </w:r>
      <w:proofErr w:type="gramStart"/>
      <w:r w:rsidRPr="00BE7362">
        <w:rPr>
          <w:rFonts w:ascii="Verdana" w:eastAsia="Times New Roman" w:hAnsi="Verdana" w:cs="Times New Roman"/>
          <w:color w:val="333333"/>
          <w:sz w:val="15"/>
          <w:szCs w:val="15"/>
          <w:lang w:eastAsia="ru-RU"/>
        </w:rPr>
        <w:t>віше</w:t>
      </w:r>
      <w:proofErr w:type="gramEnd"/>
      <w:r w:rsidRPr="00BE7362">
        <w:rPr>
          <w:rFonts w:ascii="Verdana" w:eastAsia="Times New Roman" w:hAnsi="Verdana" w:cs="Times New Roman"/>
          <w:color w:val="333333"/>
          <w:sz w:val="15"/>
          <w:szCs w:val="15"/>
          <w:lang w:eastAsia="ru-RU"/>
        </w:rPr>
        <w:t xml:space="preserve"> впливає на тривалість життя, зменшуючи його. Відомо, що очікувана тривалість життя чоловіка, у якого у віці 35 років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івень артеріального тиску становить 120/80 мм рт. ст., – 76 років, у той час як при рівні артеріального тиску 150/100 мм рт. ст. – лише 55 років (за відсутності лікування).</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Враховуючи поширеність АГ, вплив на працездатність і якість життя пацієнтів, проведення адекватної антигіпертензивної терапії розглядають як </w:t>
      </w:r>
      <w:proofErr w:type="gramStart"/>
      <w:r w:rsidRPr="00BE7362">
        <w:rPr>
          <w:rFonts w:ascii="Verdana" w:eastAsia="Times New Roman" w:hAnsi="Verdana" w:cs="Times New Roman"/>
          <w:color w:val="333333"/>
          <w:sz w:val="15"/>
          <w:szCs w:val="15"/>
          <w:lang w:eastAsia="ru-RU"/>
        </w:rPr>
        <w:t>пр</w:t>
      </w:r>
      <w:proofErr w:type="gramEnd"/>
      <w:r w:rsidRPr="00BE7362">
        <w:rPr>
          <w:rFonts w:ascii="Verdana" w:eastAsia="Times New Roman" w:hAnsi="Verdana" w:cs="Times New Roman"/>
          <w:color w:val="333333"/>
          <w:sz w:val="15"/>
          <w:szCs w:val="15"/>
          <w:lang w:eastAsia="ru-RU"/>
        </w:rPr>
        <w:t>іоритетний напрямок первинної профілактики серцево-судинних ускладнень. За прогнозом спеціалі</w:t>
      </w:r>
      <w:proofErr w:type="gramStart"/>
      <w:r w:rsidRPr="00BE7362">
        <w:rPr>
          <w:rFonts w:ascii="Verdana" w:eastAsia="Times New Roman" w:hAnsi="Verdana" w:cs="Times New Roman"/>
          <w:color w:val="333333"/>
          <w:sz w:val="15"/>
          <w:szCs w:val="15"/>
          <w:lang w:eastAsia="ru-RU"/>
        </w:rPr>
        <w:t>ст</w:t>
      </w:r>
      <w:proofErr w:type="gramEnd"/>
      <w:r w:rsidRPr="00BE7362">
        <w:rPr>
          <w:rFonts w:ascii="Verdana" w:eastAsia="Times New Roman" w:hAnsi="Verdana" w:cs="Times New Roman"/>
          <w:color w:val="333333"/>
          <w:sz w:val="15"/>
          <w:szCs w:val="15"/>
          <w:lang w:eastAsia="ru-RU"/>
        </w:rPr>
        <w:t>ів, кількість хворих на АГ буде постійно збільшуватися і до 2025 р. у розвинених країнах досягне 413 млн, а в тих, що розвиваються, – 1,5 млрд осіб.</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Поширеність АГ серед дорослого населення країн СНД становить близько 40 %, в Україні таких хворих приблизно 23 %. При цьому про наявність </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 xml:space="preserve">ідвищеного артеріального тиску знають близько 77 % пацієнтів (67,8 % сільських і 80,8 міських жителів). </w:t>
      </w:r>
      <w:proofErr w:type="gramStart"/>
      <w:r w:rsidRPr="00BE7362">
        <w:rPr>
          <w:rFonts w:ascii="Verdana" w:eastAsia="Times New Roman" w:hAnsi="Verdana" w:cs="Times New Roman"/>
          <w:color w:val="333333"/>
          <w:sz w:val="15"/>
          <w:szCs w:val="15"/>
          <w:lang w:eastAsia="ru-RU"/>
        </w:rPr>
        <w:t>З</w:t>
      </w:r>
      <w:proofErr w:type="gramEnd"/>
      <w:r w:rsidRPr="00BE7362">
        <w:rPr>
          <w:rFonts w:ascii="Verdana" w:eastAsia="Times New Roman" w:hAnsi="Verdana" w:cs="Times New Roman"/>
          <w:color w:val="333333"/>
          <w:sz w:val="15"/>
          <w:szCs w:val="15"/>
          <w:lang w:eastAsia="ru-RU"/>
        </w:rPr>
        <w:t xml:space="preserve"> них лише 59 % чоловіків і 74,1 % жінок та 38,3 % сільських і 48,4 % міських жителів приймають антигіпертензивні препарати. Причому лише 9,4 % чоловіків і 13,7 % жінок та 8,1 % сільських і 18,7 % міських мешканців </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ідтримують цільові рівні артеріального тиску.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Завдяки реалізац</w:t>
      </w:r>
      <w:proofErr w:type="gramStart"/>
      <w:r w:rsidRPr="00BE7362">
        <w:rPr>
          <w:rFonts w:ascii="Verdana" w:eastAsia="Times New Roman" w:hAnsi="Verdana" w:cs="Times New Roman"/>
          <w:color w:val="333333"/>
          <w:sz w:val="15"/>
          <w:szCs w:val="15"/>
          <w:lang w:eastAsia="ru-RU"/>
        </w:rPr>
        <w:t>ії Д</w:t>
      </w:r>
      <w:proofErr w:type="gramEnd"/>
      <w:r w:rsidRPr="00BE7362">
        <w:rPr>
          <w:rFonts w:ascii="Verdana" w:eastAsia="Times New Roman" w:hAnsi="Verdana" w:cs="Times New Roman"/>
          <w:color w:val="333333"/>
          <w:sz w:val="15"/>
          <w:szCs w:val="15"/>
          <w:lang w:eastAsia="ru-RU"/>
        </w:rPr>
        <w:t xml:space="preserve">ержавної програми боротьби із гіпертензіями вдалося досягти позитивної динаміки. Зростання показника поширеності АГ </w:t>
      </w:r>
      <w:proofErr w:type="gramStart"/>
      <w:r w:rsidRPr="00BE7362">
        <w:rPr>
          <w:rFonts w:ascii="Verdana" w:eastAsia="Times New Roman" w:hAnsi="Verdana" w:cs="Times New Roman"/>
          <w:color w:val="333333"/>
          <w:sz w:val="15"/>
          <w:szCs w:val="15"/>
          <w:lang w:eastAsia="ru-RU"/>
        </w:rPr>
        <w:t>св</w:t>
      </w:r>
      <w:proofErr w:type="gramEnd"/>
      <w:r w:rsidRPr="00BE7362">
        <w:rPr>
          <w:rFonts w:ascii="Verdana" w:eastAsia="Times New Roman" w:hAnsi="Verdana" w:cs="Times New Roman"/>
          <w:color w:val="333333"/>
          <w:sz w:val="15"/>
          <w:szCs w:val="15"/>
          <w:lang w:eastAsia="ru-RU"/>
        </w:rPr>
        <w:t>ідчить про краще виявлення цього захворювання та помітне зниження кількості випадків інсульту і смерті від нього, хоча рівень смертності від ХСК майже на 90 % визначається ІХС та ЦВХ, основною причиною яких є АГ. Поширеність ХСК, асоційованих з АГ, серед дорослого населення і працездатних у 2008 р. наведена у табл. 1.</w:t>
      </w:r>
    </w:p>
    <w:p w:rsid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val="uk-UA" w:eastAsia="ru-RU"/>
        </w:rPr>
      </w:pPr>
      <w:r w:rsidRPr="00BE7362">
        <w:rPr>
          <w:rFonts w:ascii="Verdana" w:eastAsia="Times New Roman" w:hAnsi="Verdana" w:cs="Times New Roman"/>
          <w:i/>
          <w:iCs/>
          <w:color w:val="333333"/>
          <w:sz w:val="15"/>
          <w:szCs w:val="15"/>
          <w:lang w:eastAsia="ru-RU"/>
        </w:rPr>
        <w:t>Таблиця 1.</w:t>
      </w:r>
      <w:r w:rsidRPr="00BE7362">
        <w:rPr>
          <w:rFonts w:ascii="Verdana" w:eastAsia="Times New Roman" w:hAnsi="Verdana" w:cs="Times New Roman"/>
          <w:color w:val="333333"/>
          <w:sz w:val="15"/>
          <w:szCs w:val="15"/>
          <w:lang w:eastAsia="ru-RU"/>
        </w:rPr>
        <w:t xml:space="preserve"> Поширеність </w:t>
      </w:r>
      <w:proofErr w:type="gramStart"/>
      <w:r w:rsidRPr="00BE7362">
        <w:rPr>
          <w:rFonts w:ascii="Verdana" w:eastAsia="Times New Roman" w:hAnsi="Verdana" w:cs="Times New Roman"/>
          <w:color w:val="333333"/>
          <w:sz w:val="15"/>
          <w:szCs w:val="15"/>
          <w:lang w:eastAsia="ru-RU"/>
        </w:rPr>
        <w:t>хвороб</w:t>
      </w:r>
      <w:proofErr w:type="gramEnd"/>
      <w:r w:rsidRPr="00BE7362">
        <w:rPr>
          <w:rFonts w:ascii="Verdana" w:eastAsia="Times New Roman" w:hAnsi="Verdana" w:cs="Times New Roman"/>
          <w:color w:val="333333"/>
          <w:sz w:val="15"/>
          <w:szCs w:val="15"/>
          <w:lang w:eastAsia="ru-RU"/>
        </w:rPr>
        <w:t xml:space="preserve"> системи кровообігу, асоційованих з АГ, у 2008 р.</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Pr>
          <w:rFonts w:ascii="Verdana" w:eastAsia="Times New Roman" w:hAnsi="Verdana" w:cs="Times New Roman"/>
          <w:noProof/>
          <w:color w:val="333333"/>
          <w:sz w:val="15"/>
          <w:szCs w:val="15"/>
          <w:lang w:eastAsia="ru-RU"/>
        </w:rPr>
        <w:drawing>
          <wp:inline distT="0" distB="0" distL="0" distR="0">
            <wp:extent cx="3355340" cy="2250440"/>
            <wp:effectExtent l="19050" t="0" r="0" b="0"/>
            <wp:docPr id="1" name="Рисунок 1" descr="http://www.ukrcardio.org/pictures/IMAG610/kovalen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rcardio.org/pictures/IMAG610/kovalenko1.gif"/>
                    <pic:cNvPicPr>
                      <a:picLocks noChangeAspect="1" noChangeArrowheads="1"/>
                    </pic:cNvPicPr>
                  </pic:nvPicPr>
                  <pic:blipFill>
                    <a:blip r:embed="rId6" cstate="print"/>
                    <a:srcRect/>
                    <a:stretch>
                      <a:fillRect/>
                    </a:stretch>
                  </pic:blipFill>
                  <pic:spPr bwMode="auto">
                    <a:xfrm>
                      <a:off x="0" y="0"/>
                      <a:ext cx="3355340" cy="2250440"/>
                    </a:xfrm>
                    <a:prstGeom prst="rect">
                      <a:avLst/>
                    </a:prstGeom>
                    <a:noFill/>
                    <a:ln w="9525">
                      <a:noFill/>
                      <a:miter lim="800000"/>
                      <a:headEnd/>
                      <a:tailEnd/>
                    </a:ln>
                  </pic:spPr>
                </pic:pic>
              </a:graphicData>
            </a:graphic>
          </wp:inline>
        </w:drawing>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У 2008 р. серед сільських мешканців України, хворих на АГ (</w:t>
      </w:r>
      <w:proofErr w:type="gramStart"/>
      <w:r w:rsidRPr="00BE7362">
        <w:rPr>
          <w:rFonts w:ascii="Verdana" w:eastAsia="Times New Roman" w:hAnsi="Verdana" w:cs="Times New Roman"/>
          <w:color w:val="333333"/>
          <w:sz w:val="15"/>
          <w:szCs w:val="15"/>
          <w:lang w:eastAsia="ru-RU"/>
        </w:rPr>
        <w:t>вс</w:t>
      </w:r>
      <w:proofErr w:type="gramEnd"/>
      <w:r w:rsidRPr="00BE7362">
        <w:rPr>
          <w:rFonts w:ascii="Verdana" w:eastAsia="Times New Roman" w:hAnsi="Verdana" w:cs="Times New Roman"/>
          <w:color w:val="333333"/>
          <w:sz w:val="15"/>
          <w:szCs w:val="15"/>
          <w:lang w:eastAsia="ru-RU"/>
        </w:rPr>
        <w:t>і форми), було зареєстровано 3 513 342 особи (29 867,6 на 100 000 населення); тих, які звернулися вперше, – 307 087 осіб (2610,6), що становить відповідно 46,2 та 40,9 % в структурі ХСК.</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Поширеність АГ серед дорослих за останні п’ять років зросла на 970 325 осіб, тобто на 9,4 %. Щорічно виявляють більше 1 </w:t>
      </w:r>
      <w:proofErr w:type="gramStart"/>
      <w:r w:rsidRPr="00BE7362">
        <w:rPr>
          <w:rFonts w:ascii="Verdana" w:eastAsia="Times New Roman" w:hAnsi="Verdana" w:cs="Times New Roman"/>
          <w:color w:val="333333"/>
          <w:sz w:val="15"/>
          <w:szCs w:val="15"/>
          <w:lang w:eastAsia="ru-RU"/>
        </w:rPr>
        <w:t>млн</w:t>
      </w:r>
      <w:proofErr w:type="gramEnd"/>
      <w:r w:rsidRPr="00BE7362">
        <w:rPr>
          <w:rFonts w:ascii="Verdana" w:eastAsia="Times New Roman" w:hAnsi="Verdana" w:cs="Times New Roman"/>
          <w:color w:val="333333"/>
          <w:sz w:val="15"/>
          <w:szCs w:val="15"/>
          <w:lang w:eastAsia="ru-RU"/>
        </w:rPr>
        <w:t xml:space="preserve"> нових випадків захворювань. Показник захворюваності по Україні становить 2666,1 на 100 000 населення. Найкраще виявлення цієї патології спостерігається в Харківській (4723,4), Закарпатській (3997,1) та Львівській (3216,6) областях.</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Показник смертності на 100 000 населення перевищує середній по Україні (1,4) у 5 разів у Вінницькій області (7,0); майже у 3 рази в Дніпропетровській та Київській областях, у Полтавській та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івненській областях смертність від зазначеної патології не зареєстрована (табл. 2).</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i/>
          <w:iCs/>
          <w:color w:val="333333"/>
          <w:sz w:val="15"/>
          <w:szCs w:val="15"/>
          <w:lang w:eastAsia="ru-RU"/>
        </w:rPr>
        <w:lastRenderedPageBreak/>
        <w:t>Таблиця 2.</w:t>
      </w:r>
      <w:r w:rsidRPr="00BE7362">
        <w:rPr>
          <w:rFonts w:ascii="Verdana" w:eastAsia="Times New Roman" w:hAnsi="Verdana" w:cs="Times New Roman"/>
          <w:color w:val="333333"/>
          <w:sz w:val="15"/>
          <w:szCs w:val="15"/>
          <w:lang w:eastAsia="ru-RU"/>
        </w:rPr>
        <w:t xml:space="preserve"> Показники ураження дорослого населення гіпертонічною </w:t>
      </w:r>
      <w:proofErr w:type="gramStart"/>
      <w:r w:rsidRPr="00BE7362">
        <w:rPr>
          <w:rFonts w:ascii="Verdana" w:eastAsia="Times New Roman" w:hAnsi="Verdana" w:cs="Times New Roman"/>
          <w:color w:val="333333"/>
          <w:sz w:val="15"/>
          <w:szCs w:val="15"/>
          <w:lang w:eastAsia="ru-RU"/>
        </w:rPr>
        <w:t>хворобою</w:t>
      </w:r>
      <w:proofErr w:type="gramEnd"/>
      <w:r w:rsidRPr="00BE7362">
        <w:rPr>
          <w:rFonts w:ascii="Verdana" w:eastAsia="Times New Roman" w:hAnsi="Verdana" w:cs="Times New Roman"/>
          <w:color w:val="333333"/>
          <w:sz w:val="15"/>
          <w:szCs w:val="15"/>
          <w:lang w:eastAsia="ru-RU"/>
        </w:rPr>
        <w:t xml:space="preserve"> (усі форми) в регіонах України</w:t>
      </w:r>
      <w:r w:rsidRPr="00BE7362">
        <w:rPr>
          <w:rFonts w:ascii="Verdana" w:eastAsia="Times New Roman" w:hAnsi="Verdana" w:cs="Times New Roman"/>
          <w:color w:val="333333"/>
          <w:sz w:val="15"/>
          <w:szCs w:val="15"/>
          <w:lang w:eastAsia="ru-RU"/>
        </w:rPr>
        <w:br/>
      </w:r>
      <w:r>
        <w:rPr>
          <w:rFonts w:ascii="Verdana" w:eastAsia="Times New Roman" w:hAnsi="Verdana" w:cs="Times New Roman"/>
          <w:noProof/>
          <w:color w:val="333333"/>
          <w:sz w:val="15"/>
          <w:szCs w:val="15"/>
          <w:lang w:eastAsia="ru-RU"/>
        </w:rPr>
        <w:drawing>
          <wp:inline distT="0" distB="0" distL="0" distR="0">
            <wp:extent cx="6981190" cy="5629275"/>
            <wp:effectExtent l="19050" t="0" r="0" b="0"/>
            <wp:docPr id="2" name="Рисунок 2" descr="http://www.ukrcardio.org/pictures/IMAG610/kovalenk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krcardio.org/pictures/IMAG610/kovalenko2.gif"/>
                    <pic:cNvPicPr>
                      <a:picLocks noChangeAspect="1" noChangeArrowheads="1"/>
                    </pic:cNvPicPr>
                  </pic:nvPicPr>
                  <pic:blipFill>
                    <a:blip r:embed="rId7" cstate="print"/>
                    <a:srcRect/>
                    <a:stretch>
                      <a:fillRect/>
                    </a:stretch>
                  </pic:blipFill>
                  <pic:spPr bwMode="auto">
                    <a:xfrm>
                      <a:off x="0" y="0"/>
                      <a:ext cx="6981190" cy="5629275"/>
                    </a:xfrm>
                    <a:prstGeom prst="rect">
                      <a:avLst/>
                    </a:prstGeom>
                    <a:noFill/>
                    <a:ln w="9525">
                      <a:noFill/>
                      <a:miter lim="800000"/>
                      <a:headEnd/>
                      <a:tailEnd/>
                    </a:ln>
                  </pic:spPr>
                </pic:pic>
              </a:graphicData>
            </a:graphic>
          </wp:inline>
        </w:drawing>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Аналогічну ситуацію спостерігають серед населення працездатного віку. Про якісне проведення диспансерного </w:t>
      </w:r>
      <w:proofErr w:type="gramStart"/>
      <w:r w:rsidRPr="00BE7362">
        <w:rPr>
          <w:rFonts w:ascii="Verdana" w:eastAsia="Times New Roman" w:hAnsi="Verdana" w:cs="Times New Roman"/>
          <w:color w:val="333333"/>
          <w:sz w:val="15"/>
          <w:szCs w:val="15"/>
          <w:lang w:eastAsia="ru-RU"/>
        </w:rPr>
        <w:t>обл</w:t>
      </w:r>
      <w:proofErr w:type="gramEnd"/>
      <w:r w:rsidRPr="00BE7362">
        <w:rPr>
          <w:rFonts w:ascii="Verdana" w:eastAsia="Times New Roman" w:hAnsi="Verdana" w:cs="Times New Roman"/>
          <w:color w:val="333333"/>
          <w:sz w:val="15"/>
          <w:szCs w:val="15"/>
          <w:lang w:eastAsia="ru-RU"/>
        </w:rPr>
        <w:t>іку свідчать показники первинного виходу на інвалідність та смертності: якщо у Закарпатській області обсяг диспансерного спостереження вищий (22 660,5 на 100 000 населення), то зазначені показники нижчі. В Київській області обсяг диспансерного нагляду у 1,5 разу менший, ніж середній по Україні, а показники смертності та інвалідності більші (табл. 3).</w:t>
      </w:r>
    </w:p>
    <w:p w:rsidR="00503000"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val="uk-UA" w:eastAsia="ru-RU"/>
        </w:rPr>
      </w:pPr>
      <w:r w:rsidRPr="00BE7362">
        <w:rPr>
          <w:rFonts w:ascii="Verdana" w:eastAsia="Times New Roman" w:hAnsi="Verdana" w:cs="Times New Roman"/>
          <w:i/>
          <w:iCs/>
          <w:color w:val="333333"/>
          <w:sz w:val="15"/>
          <w:szCs w:val="15"/>
          <w:lang w:eastAsia="ru-RU"/>
        </w:rPr>
        <w:t>Таблиця 3.</w:t>
      </w:r>
      <w:r w:rsidRPr="00BE7362">
        <w:rPr>
          <w:rFonts w:ascii="Verdana" w:eastAsia="Times New Roman" w:hAnsi="Verdana" w:cs="Times New Roman"/>
          <w:color w:val="333333"/>
          <w:sz w:val="15"/>
          <w:szCs w:val="15"/>
          <w:lang w:eastAsia="ru-RU"/>
        </w:rPr>
        <w:t xml:space="preserve"> Показники здоров’я населення працездатного віку в Україні (ГХ, усі форми)</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lastRenderedPageBreak/>
        <w:br/>
      </w:r>
      <w:r>
        <w:rPr>
          <w:rFonts w:ascii="Verdana" w:eastAsia="Times New Roman" w:hAnsi="Verdana" w:cs="Times New Roman"/>
          <w:b/>
          <w:bCs/>
          <w:noProof/>
          <w:color w:val="333333"/>
          <w:sz w:val="20"/>
          <w:szCs w:val="20"/>
          <w:lang w:eastAsia="ru-RU"/>
        </w:rPr>
        <w:drawing>
          <wp:inline distT="0" distB="0" distL="0" distR="0">
            <wp:extent cx="7037070" cy="6003290"/>
            <wp:effectExtent l="19050" t="0" r="0" b="0"/>
            <wp:docPr id="3" name="Рисунок 3" descr="http://www.ukrcardio.org/pictures/IMAG610/kovalenk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krcardio.org/pictures/IMAG610/kovalenko3.gif"/>
                    <pic:cNvPicPr>
                      <a:picLocks noChangeAspect="1" noChangeArrowheads="1"/>
                    </pic:cNvPicPr>
                  </pic:nvPicPr>
                  <pic:blipFill>
                    <a:blip r:embed="rId8" cstate="print"/>
                    <a:srcRect/>
                    <a:stretch>
                      <a:fillRect/>
                    </a:stretch>
                  </pic:blipFill>
                  <pic:spPr bwMode="auto">
                    <a:xfrm>
                      <a:off x="0" y="0"/>
                      <a:ext cx="7037070" cy="6003290"/>
                    </a:xfrm>
                    <a:prstGeom prst="rect">
                      <a:avLst/>
                    </a:prstGeom>
                    <a:noFill/>
                    <a:ln w="9525">
                      <a:noFill/>
                      <a:miter lim="800000"/>
                      <a:headEnd/>
                      <a:tailEnd/>
                    </a:ln>
                  </pic:spPr>
                </pic:pic>
              </a:graphicData>
            </a:graphic>
          </wp:inline>
        </w:drawing>
      </w:r>
      <w:r w:rsidRPr="00BE7362">
        <w:rPr>
          <w:rFonts w:ascii="Verdana" w:eastAsia="Times New Roman" w:hAnsi="Verdana" w:cs="Times New Roman"/>
          <w:b/>
          <w:bCs/>
          <w:color w:val="333333"/>
          <w:sz w:val="20"/>
          <w:szCs w:val="20"/>
          <w:lang w:eastAsia="ru-RU"/>
        </w:rPr>
        <w:br/>
      </w:r>
      <w:r w:rsidRPr="00BE7362">
        <w:rPr>
          <w:rFonts w:ascii="Verdana" w:eastAsia="Times New Roman" w:hAnsi="Verdana" w:cs="Times New Roman"/>
          <w:b/>
          <w:bCs/>
          <w:color w:val="333333"/>
          <w:sz w:val="20"/>
          <w:lang w:eastAsia="ru-RU"/>
        </w:rPr>
        <w:t>Примітка.</w:t>
      </w:r>
      <w:r w:rsidRPr="00BE7362">
        <w:rPr>
          <w:rFonts w:ascii="Verdana" w:eastAsia="Times New Roman" w:hAnsi="Verdana" w:cs="Times New Roman"/>
          <w:color w:val="333333"/>
          <w:sz w:val="20"/>
          <w:szCs w:val="20"/>
          <w:lang w:eastAsia="ru-RU"/>
        </w:rPr>
        <w:t xml:space="preserve"> </w:t>
      </w:r>
      <w:proofErr w:type="gramStart"/>
      <w:r w:rsidRPr="00BE7362">
        <w:rPr>
          <w:rFonts w:ascii="Verdana" w:eastAsia="Times New Roman" w:hAnsi="Verdana" w:cs="Times New Roman"/>
          <w:color w:val="333333"/>
          <w:sz w:val="20"/>
          <w:szCs w:val="20"/>
          <w:lang w:eastAsia="ru-RU"/>
        </w:rPr>
        <w:t>П</w:t>
      </w:r>
      <w:proofErr w:type="gramEnd"/>
      <w:r w:rsidRPr="00BE7362">
        <w:rPr>
          <w:rFonts w:ascii="Verdana" w:eastAsia="Times New Roman" w:hAnsi="Verdana" w:cs="Times New Roman"/>
          <w:color w:val="333333"/>
          <w:sz w:val="20"/>
          <w:szCs w:val="20"/>
          <w:lang w:eastAsia="ru-RU"/>
        </w:rPr>
        <w:t xml:space="preserve"> – поширеність; З – захворюваність; ДН – диспансерний нагляд; ПІ – первинна інвалідність; С – смертність.</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Взаємозв’язок між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 xml:space="preserve">івнем артеріального тиску і ризиком розвитку серцево-судинних захворювань неперервний, прямий, постійний і не залежить від інших факторів ризику. </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 xml:space="preserve">ідвищений артеріальний тиск є фактором ризику розвитку ІХС, інсульту, хронічної серцевої недостатності. Зокрема, якщо ризик смерті у чоловіків з рівнем систолічного артеріального тиску менше 115 мм рт. ст. взяти за одиницю, то при рівні цього показника більше 160 мм рт. ст. ризик смерті від ІХС збільшується у 4 рази, а від інсульту – майже у 9 разів. За даними проспективних </w:t>
      </w:r>
      <w:proofErr w:type="gramStart"/>
      <w:r w:rsidRPr="00BE7362">
        <w:rPr>
          <w:rFonts w:ascii="Verdana" w:eastAsia="Times New Roman" w:hAnsi="Verdana" w:cs="Times New Roman"/>
          <w:color w:val="333333"/>
          <w:sz w:val="15"/>
          <w:szCs w:val="15"/>
          <w:lang w:eastAsia="ru-RU"/>
        </w:rPr>
        <w:t>досл</w:t>
      </w:r>
      <w:proofErr w:type="gramEnd"/>
      <w:r w:rsidRPr="00BE7362">
        <w:rPr>
          <w:rFonts w:ascii="Verdana" w:eastAsia="Times New Roman" w:hAnsi="Verdana" w:cs="Times New Roman"/>
          <w:color w:val="333333"/>
          <w:sz w:val="15"/>
          <w:szCs w:val="15"/>
          <w:lang w:eastAsia="ru-RU"/>
        </w:rPr>
        <w:t>іджень, внесок АГ у смертність осіб середнього віку від ХСК становить 40 %. Чоловіки і жінки, які мають систолічний артеріальний тиск 180 мм рт. ст. і більше, живуть на 10 років менше порівняно з тими, які мають величину цього показника менше 120 мм рт. ст. Шляхом активного виявлення і регулярного лікування пацієнтів з АГ можна на 40–50 % знизити смертність від інсульту і на 15–20 % від ІХС. Таким чином, при ефективному лікуванні АГ можна було б теоретично подовжити приблизно третину життів чолові</w:t>
      </w:r>
      <w:proofErr w:type="gramStart"/>
      <w:r w:rsidRPr="00BE7362">
        <w:rPr>
          <w:rFonts w:ascii="Verdana" w:eastAsia="Times New Roman" w:hAnsi="Verdana" w:cs="Times New Roman"/>
          <w:color w:val="333333"/>
          <w:sz w:val="15"/>
          <w:szCs w:val="15"/>
          <w:lang w:eastAsia="ru-RU"/>
        </w:rPr>
        <w:t>к</w:t>
      </w:r>
      <w:proofErr w:type="gramEnd"/>
      <w:r w:rsidRPr="00BE7362">
        <w:rPr>
          <w:rFonts w:ascii="Verdana" w:eastAsia="Times New Roman" w:hAnsi="Verdana" w:cs="Times New Roman"/>
          <w:color w:val="333333"/>
          <w:sz w:val="15"/>
          <w:szCs w:val="15"/>
          <w:lang w:eastAsia="ru-RU"/>
        </w:rPr>
        <w:t>ів і жінок.</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proofErr w:type="gramStart"/>
      <w:r w:rsidRPr="00BE7362">
        <w:rPr>
          <w:rFonts w:ascii="Verdana" w:eastAsia="Times New Roman" w:hAnsi="Verdana" w:cs="Times New Roman"/>
          <w:color w:val="333333"/>
          <w:sz w:val="15"/>
          <w:szCs w:val="15"/>
          <w:lang w:eastAsia="ru-RU"/>
        </w:rPr>
        <w:t>Звертаємо увагу, що оскільки АГ найбільш поширена у старших вікових групах, то показники поширеності і захворюваності на ІХС з ГХ у цій віковій групі значно вищі (відповідно у 2,5 і 1,9 разу, ніж у групі «Дорослі», та у 6,7 і 3,3 разу, ніж у групі «Працездатні»).</w:t>
      </w:r>
      <w:proofErr w:type="gramEnd"/>
      <w:r w:rsidRPr="00BE7362">
        <w:rPr>
          <w:rFonts w:ascii="Verdana" w:eastAsia="Times New Roman" w:hAnsi="Verdana" w:cs="Times New Roman"/>
          <w:color w:val="333333"/>
          <w:sz w:val="15"/>
          <w:szCs w:val="15"/>
          <w:lang w:eastAsia="ru-RU"/>
        </w:rPr>
        <w:t xml:space="preserve"> Області та регіони, в яких велика частка населення похилого віку, є значно вищі, ніж середні по Україні, показники поширеності ІХС з ГХ серед дорослих, сільського населення та осіб пенсійного віку (м. Київ, м. Севастополь, Київська, </w:t>
      </w:r>
      <w:proofErr w:type="gramStart"/>
      <w:r w:rsidRPr="00BE7362">
        <w:rPr>
          <w:rFonts w:ascii="Verdana" w:eastAsia="Times New Roman" w:hAnsi="Verdana" w:cs="Times New Roman"/>
          <w:color w:val="333333"/>
          <w:sz w:val="15"/>
          <w:szCs w:val="15"/>
          <w:lang w:eastAsia="ru-RU"/>
        </w:rPr>
        <w:t>К</w:t>
      </w:r>
      <w:proofErr w:type="gramEnd"/>
      <w:r w:rsidRPr="00BE7362">
        <w:rPr>
          <w:rFonts w:ascii="Verdana" w:eastAsia="Times New Roman" w:hAnsi="Verdana" w:cs="Times New Roman"/>
          <w:color w:val="333333"/>
          <w:sz w:val="15"/>
          <w:szCs w:val="15"/>
          <w:lang w:eastAsia="ru-RU"/>
        </w:rPr>
        <w:t>іровоградська та Луганська області).</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Доведено, що ГХ впливає на захворюваність на ЦВХ, оскільки у структурі усіх ЦВХ поширеність ЦВХ з ГХ серед дорослого населення становить 62,8 %, серед </w:t>
      </w:r>
      <w:proofErr w:type="gramStart"/>
      <w:r w:rsidRPr="00BE7362">
        <w:rPr>
          <w:rFonts w:ascii="Verdana" w:eastAsia="Times New Roman" w:hAnsi="Verdana" w:cs="Times New Roman"/>
          <w:color w:val="333333"/>
          <w:sz w:val="15"/>
          <w:szCs w:val="15"/>
          <w:lang w:eastAsia="ru-RU"/>
        </w:rPr>
        <w:t>осіб</w:t>
      </w:r>
      <w:proofErr w:type="gramEnd"/>
      <w:r w:rsidRPr="00BE7362">
        <w:rPr>
          <w:rFonts w:ascii="Verdana" w:eastAsia="Times New Roman" w:hAnsi="Verdana" w:cs="Times New Roman"/>
          <w:color w:val="333333"/>
          <w:sz w:val="15"/>
          <w:szCs w:val="15"/>
          <w:lang w:eastAsia="ru-RU"/>
        </w:rPr>
        <w:t xml:space="preserve"> працездатного віку – 57,2 %. Населення старшої вікової групи хворіє на цю недугу значно частіше. Зокрема, поширеність і захворюваність на ЦВХ з ГХ в </w:t>
      </w:r>
      <w:proofErr w:type="gramStart"/>
      <w:r w:rsidRPr="00BE7362">
        <w:rPr>
          <w:rFonts w:ascii="Verdana" w:eastAsia="Times New Roman" w:hAnsi="Verdana" w:cs="Times New Roman"/>
          <w:color w:val="333333"/>
          <w:sz w:val="15"/>
          <w:szCs w:val="15"/>
          <w:lang w:eastAsia="ru-RU"/>
        </w:rPr>
        <w:t>осіб</w:t>
      </w:r>
      <w:proofErr w:type="gramEnd"/>
      <w:r w:rsidRPr="00BE7362">
        <w:rPr>
          <w:rFonts w:ascii="Verdana" w:eastAsia="Times New Roman" w:hAnsi="Verdana" w:cs="Times New Roman"/>
          <w:color w:val="333333"/>
          <w:sz w:val="15"/>
          <w:szCs w:val="15"/>
          <w:lang w:eastAsia="ru-RU"/>
        </w:rPr>
        <w:t xml:space="preserve"> пенсійного віку відповідно у 2,7 і 2,3 разу перевищує </w:t>
      </w:r>
      <w:r w:rsidRPr="00BE7362">
        <w:rPr>
          <w:rFonts w:ascii="Verdana" w:eastAsia="Times New Roman" w:hAnsi="Verdana" w:cs="Times New Roman"/>
          <w:color w:val="333333"/>
          <w:sz w:val="15"/>
          <w:szCs w:val="15"/>
          <w:lang w:eastAsia="ru-RU"/>
        </w:rPr>
        <w:lastRenderedPageBreak/>
        <w:t>таку серед дорослих. Питома вага поширеності і захворюваності працездатного населення з ЦВХ, поєднаними з ГХ, становить відповідно 26,6 та 43,5 % у структурі усіх хворих на цю недугу.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Аналогічний внесок ГХ у виникнення інсульту. Поширеність інсультів з ГХ і захворюваність на них серед дорослих становила 54,1 % у структурі інсультів усіх форм (у працездатних – 53,7 %). Серед населення старшої вікової групи ця недуга зустрічається значно частіше, ніж серед усіх дорослих, – у 2,5 разу. Питома вага інсультів з гіпертонією серед працездатних становить 34,3 % у структурі </w:t>
      </w:r>
      <w:proofErr w:type="gramStart"/>
      <w:r w:rsidRPr="00BE7362">
        <w:rPr>
          <w:rFonts w:ascii="Verdana" w:eastAsia="Times New Roman" w:hAnsi="Verdana" w:cs="Times New Roman"/>
          <w:color w:val="333333"/>
          <w:sz w:val="15"/>
          <w:szCs w:val="15"/>
          <w:lang w:eastAsia="ru-RU"/>
        </w:rPr>
        <w:t>вс</w:t>
      </w:r>
      <w:proofErr w:type="gramEnd"/>
      <w:r w:rsidRPr="00BE7362">
        <w:rPr>
          <w:rFonts w:ascii="Verdana" w:eastAsia="Times New Roman" w:hAnsi="Verdana" w:cs="Times New Roman"/>
          <w:color w:val="333333"/>
          <w:sz w:val="15"/>
          <w:szCs w:val="15"/>
          <w:lang w:eastAsia="ru-RU"/>
        </w:rPr>
        <w:t>іх хворих на цю патологію.</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proofErr w:type="gramStart"/>
      <w:r w:rsidRPr="00BE7362">
        <w:rPr>
          <w:rFonts w:ascii="Verdana" w:eastAsia="Times New Roman" w:hAnsi="Verdana" w:cs="Times New Roman"/>
          <w:color w:val="333333"/>
          <w:sz w:val="15"/>
          <w:szCs w:val="15"/>
          <w:lang w:eastAsia="ru-RU"/>
        </w:rPr>
        <w:t>У структурі гострого порушення мозкового кровообігу сьогодні лідирує ішемічний інсульт (64,2 %), а частка геморагічного інсульту за останні роки зменшується, що пояснюється успіхами в лікуванні АГ – основного фактора ризику розвитку внутрішньомозкових крововиливів та цукрового діабету, який спричиняє «малий геморагічний інсульт», особливо серед населення працездатного віку.</w:t>
      </w:r>
      <w:proofErr w:type="gramEnd"/>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При нормалізації артеріального тиску знижується ризик розвитку фатального і нефатального мозкового інсульту на 42 %, серцево-судинних ускладнень – на 14 %, смертність від серцево-судинних уражень – на 21 % і смертність від усіх причин – на 14 %. Дані сучасних </w:t>
      </w:r>
      <w:proofErr w:type="gramStart"/>
      <w:r w:rsidRPr="00BE7362">
        <w:rPr>
          <w:rFonts w:ascii="Verdana" w:eastAsia="Times New Roman" w:hAnsi="Verdana" w:cs="Times New Roman"/>
          <w:color w:val="333333"/>
          <w:sz w:val="15"/>
          <w:szCs w:val="15"/>
          <w:lang w:eastAsia="ru-RU"/>
        </w:rPr>
        <w:t>досл</w:t>
      </w:r>
      <w:proofErr w:type="gramEnd"/>
      <w:r w:rsidRPr="00BE7362">
        <w:rPr>
          <w:rFonts w:ascii="Verdana" w:eastAsia="Times New Roman" w:hAnsi="Verdana" w:cs="Times New Roman"/>
          <w:color w:val="333333"/>
          <w:sz w:val="15"/>
          <w:szCs w:val="15"/>
          <w:lang w:eastAsia="ru-RU"/>
        </w:rPr>
        <w:t>іджень показали, що активне залучення пацієнтів до регулярного лікування і контролю артеріального тиску приводить до зниження смертності від інсульту головного мозку на 48 %. За адекватного контролю артеріального тиску відзначають зниження частоти виникнення повторних інсультів на 28 %. На жаль, адекватний контроль АГ зареєстровано лише у 9,4 % чолові</w:t>
      </w:r>
      <w:proofErr w:type="gramStart"/>
      <w:r w:rsidRPr="00BE7362">
        <w:rPr>
          <w:rFonts w:ascii="Verdana" w:eastAsia="Times New Roman" w:hAnsi="Verdana" w:cs="Times New Roman"/>
          <w:color w:val="333333"/>
          <w:sz w:val="15"/>
          <w:szCs w:val="15"/>
          <w:lang w:eastAsia="ru-RU"/>
        </w:rPr>
        <w:t>к</w:t>
      </w:r>
      <w:proofErr w:type="gramEnd"/>
      <w:r w:rsidRPr="00BE7362">
        <w:rPr>
          <w:rFonts w:ascii="Verdana" w:eastAsia="Times New Roman" w:hAnsi="Verdana" w:cs="Times New Roman"/>
          <w:color w:val="333333"/>
          <w:sz w:val="15"/>
          <w:szCs w:val="15"/>
          <w:lang w:eastAsia="ru-RU"/>
        </w:rPr>
        <w:t>ів і 13 % жінок.</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Серед причин низького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івня застосування антигіпертензивної терапії пацієнтами з високим ризиком можна виділити такі:</w:t>
      </w:r>
    </w:p>
    <w:p w:rsidR="00BE7362" w:rsidRPr="00BE7362" w:rsidRDefault="00BE7362" w:rsidP="00BE7362">
      <w:pPr>
        <w:numPr>
          <w:ilvl w:val="0"/>
          <w:numId w:val="1"/>
        </w:numPr>
        <w:spacing w:before="100" w:beforeAutospacing="1" w:after="100" w:afterAutospacing="1" w:line="240" w:lineRule="auto"/>
        <w:rPr>
          <w:rFonts w:ascii="Verdana" w:eastAsia="Times New Roman" w:hAnsi="Verdana" w:cs="Times New Roman"/>
          <w:color w:val="333333"/>
          <w:sz w:val="15"/>
          <w:szCs w:val="15"/>
          <w:lang w:eastAsia="ru-RU"/>
        </w:rPr>
      </w:pPr>
      <w:proofErr w:type="gramStart"/>
      <w:r w:rsidRPr="00BE7362">
        <w:rPr>
          <w:rFonts w:ascii="Verdana" w:eastAsia="Times New Roman" w:hAnsi="Verdana" w:cs="Times New Roman"/>
          <w:color w:val="333333"/>
          <w:sz w:val="15"/>
          <w:szCs w:val="15"/>
          <w:lang w:eastAsia="ru-RU"/>
        </w:rPr>
        <w:t>велика</w:t>
      </w:r>
      <w:proofErr w:type="gramEnd"/>
      <w:r w:rsidRPr="00BE7362">
        <w:rPr>
          <w:rFonts w:ascii="Verdana" w:eastAsia="Times New Roman" w:hAnsi="Verdana" w:cs="Times New Roman"/>
          <w:color w:val="333333"/>
          <w:sz w:val="15"/>
          <w:szCs w:val="15"/>
          <w:lang w:eastAsia="ru-RU"/>
        </w:rPr>
        <w:t xml:space="preserve"> кількість призначених препаратів (55,1 %);</w:t>
      </w:r>
    </w:p>
    <w:p w:rsidR="00BE7362" w:rsidRPr="00BE7362" w:rsidRDefault="00BE7362" w:rsidP="00BE7362">
      <w:pPr>
        <w:numPr>
          <w:ilvl w:val="0"/>
          <w:numId w:val="1"/>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неефективність контролю артеріального тиску (30,8 %);</w:t>
      </w:r>
    </w:p>
    <w:p w:rsidR="00BE7362" w:rsidRPr="00BE7362" w:rsidRDefault="00BE7362" w:rsidP="00BE7362">
      <w:pPr>
        <w:numPr>
          <w:ilvl w:val="0"/>
          <w:numId w:val="1"/>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висока ймовірність розвитку або наявність побічних ефектів (29,7 %);</w:t>
      </w:r>
    </w:p>
    <w:p w:rsidR="00BE7362" w:rsidRPr="00BE7362" w:rsidRDefault="00BE7362" w:rsidP="00BE7362">
      <w:pPr>
        <w:numPr>
          <w:ilvl w:val="0"/>
          <w:numId w:val="1"/>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відсутність симптомів </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ідвищення артеріального тиску (24,7 %);</w:t>
      </w:r>
    </w:p>
    <w:p w:rsidR="00BE7362" w:rsidRPr="00BE7362" w:rsidRDefault="00BE7362" w:rsidP="00BE7362">
      <w:pPr>
        <w:numPr>
          <w:ilvl w:val="0"/>
          <w:numId w:val="1"/>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недостатня поінформованість хворих про необхідність постійного прийому препаратів (16,6 %) та висока вартість препаратів (4,2 %).</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Необхідно </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ідкреслити надзвичайну важливість не тільки лікування АГ, а й її первинної профілактики, що включає навчання як лікарів, так і громадян правильно вимірювати артеріальний тиск та знати основи лікування. Крім того, необхідно забезпечити населення доступними сучасними ліками й апаратами для вимірювання артеріального тиску.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Оскільки АГ – захворювання масове, то і стратегія боротьби з ним повинна теж бути масовою: зниження в популяції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івня артеріального тиску на 10 % приведе до зменшення смертності від серцево-судинних захворювань на 45 %.</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Довгий час рекомендації з гіпертензії були спрямовані тільки на визначення </w:t>
      </w:r>
      <w:proofErr w:type="gramStart"/>
      <w:r w:rsidRPr="00BE7362">
        <w:rPr>
          <w:rFonts w:ascii="Verdana" w:eastAsia="Times New Roman" w:hAnsi="Verdana" w:cs="Times New Roman"/>
          <w:color w:val="333333"/>
          <w:sz w:val="15"/>
          <w:szCs w:val="15"/>
          <w:lang w:eastAsia="ru-RU"/>
        </w:rPr>
        <w:t>р</w:t>
      </w:r>
      <w:proofErr w:type="gramEnd"/>
      <w:r w:rsidRPr="00BE7362">
        <w:rPr>
          <w:rFonts w:ascii="Verdana" w:eastAsia="Times New Roman" w:hAnsi="Verdana" w:cs="Times New Roman"/>
          <w:color w:val="333333"/>
          <w:sz w:val="15"/>
          <w:szCs w:val="15"/>
          <w:lang w:eastAsia="ru-RU"/>
        </w:rPr>
        <w:t>івнів артеріального тиску, а також на необхідність медикаментозного лікування і вибір терапії. Згідно із сучасними рекомендаціями Європейського товариства гіпертензії і Європейського товариства кардіологів, діагностика і лікування АГ повинні визначатися з позиції сумарного ризику.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Численні епідеміологічні </w:t>
      </w:r>
      <w:proofErr w:type="gramStart"/>
      <w:r w:rsidRPr="00BE7362">
        <w:rPr>
          <w:rFonts w:ascii="Verdana" w:eastAsia="Times New Roman" w:hAnsi="Verdana" w:cs="Times New Roman"/>
          <w:color w:val="333333"/>
          <w:sz w:val="15"/>
          <w:szCs w:val="15"/>
          <w:lang w:eastAsia="ru-RU"/>
        </w:rPr>
        <w:t>досл</w:t>
      </w:r>
      <w:proofErr w:type="gramEnd"/>
      <w:r w:rsidRPr="00BE7362">
        <w:rPr>
          <w:rFonts w:ascii="Verdana" w:eastAsia="Times New Roman" w:hAnsi="Verdana" w:cs="Times New Roman"/>
          <w:color w:val="333333"/>
          <w:sz w:val="15"/>
          <w:szCs w:val="15"/>
          <w:lang w:eastAsia="ru-RU"/>
        </w:rPr>
        <w:t xml:space="preserve">ідження показали, що лише незначна частина пацієнтів з гіпертензією мають тільки підвищений артеріальний тиск. </w:t>
      </w:r>
      <w:proofErr w:type="gramStart"/>
      <w:r w:rsidRPr="00BE7362">
        <w:rPr>
          <w:rFonts w:ascii="Verdana" w:eastAsia="Times New Roman" w:hAnsi="Verdana" w:cs="Times New Roman"/>
          <w:color w:val="333333"/>
          <w:sz w:val="15"/>
          <w:szCs w:val="15"/>
          <w:lang w:eastAsia="ru-RU"/>
        </w:rPr>
        <w:t>У б</w:t>
      </w:r>
      <w:proofErr w:type="gramEnd"/>
      <w:r w:rsidRPr="00BE7362">
        <w:rPr>
          <w:rFonts w:ascii="Verdana" w:eastAsia="Times New Roman" w:hAnsi="Verdana" w:cs="Times New Roman"/>
          <w:color w:val="333333"/>
          <w:sz w:val="15"/>
          <w:szCs w:val="15"/>
          <w:lang w:eastAsia="ru-RU"/>
        </w:rPr>
        <w:t>ільшості наявні додаткові фактори ризику розвитку ХСК. Гіпертензія метаболічно пов’язана з дислі</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ідемією, порушенням толерантності до глюкози, абдомінальним ожирінням, гіперінсулінемією і гіперурикемією.</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Близько 63 % випадків ІХС реєструють у чоловіків-гіпертоні</w:t>
      </w:r>
      <w:proofErr w:type="gramStart"/>
      <w:r w:rsidRPr="00BE7362">
        <w:rPr>
          <w:rFonts w:ascii="Verdana" w:eastAsia="Times New Roman" w:hAnsi="Verdana" w:cs="Times New Roman"/>
          <w:color w:val="333333"/>
          <w:sz w:val="15"/>
          <w:szCs w:val="15"/>
          <w:lang w:eastAsia="ru-RU"/>
        </w:rPr>
        <w:t>к</w:t>
      </w:r>
      <w:proofErr w:type="gramEnd"/>
      <w:r w:rsidRPr="00BE7362">
        <w:rPr>
          <w:rFonts w:ascii="Verdana" w:eastAsia="Times New Roman" w:hAnsi="Verdana" w:cs="Times New Roman"/>
          <w:color w:val="333333"/>
          <w:sz w:val="15"/>
          <w:szCs w:val="15"/>
          <w:lang w:eastAsia="ru-RU"/>
        </w:rPr>
        <w:t>ів при поєднанні двох або більше додаткових факторів ризику.</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proofErr w:type="gramStart"/>
      <w:r w:rsidRPr="00BE7362">
        <w:rPr>
          <w:rFonts w:ascii="Verdana" w:eastAsia="Times New Roman" w:hAnsi="Verdana" w:cs="Times New Roman"/>
          <w:color w:val="333333"/>
          <w:sz w:val="15"/>
          <w:szCs w:val="15"/>
          <w:lang w:eastAsia="ru-RU"/>
        </w:rPr>
        <w:t>Ц</w:t>
      </w:r>
      <w:proofErr w:type="gramEnd"/>
      <w:r w:rsidRPr="00BE7362">
        <w:rPr>
          <w:rFonts w:ascii="Verdana" w:eastAsia="Times New Roman" w:hAnsi="Verdana" w:cs="Times New Roman"/>
          <w:color w:val="333333"/>
          <w:sz w:val="15"/>
          <w:szCs w:val="15"/>
          <w:lang w:eastAsia="ru-RU"/>
        </w:rPr>
        <w:t>і дані були взяті до уваги в рекомендаціях з профілактики ХСК у клінічній практиці: інтенсивність втручання при формуванні профілактичного і терапевтичного підходу повинна визначатися сумарним серцево-судинним ризиком.</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У 2007 р. Європейське товариство гіпертензії і Європейське товариство кардіологів удосконалили й обновили рекомендації щодо ведення пацієнтів з АГ. </w:t>
      </w:r>
      <w:proofErr w:type="gramStart"/>
      <w:r w:rsidRPr="00BE7362">
        <w:rPr>
          <w:rFonts w:ascii="Verdana" w:eastAsia="Times New Roman" w:hAnsi="Verdana" w:cs="Times New Roman"/>
          <w:color w:val="333333"/>
          <w:sz w:val="15"/>
          <w:szCs w:val="15"/>
          <w:lang w:eastAsia="ru-RU"/>
        </w:rPr>
        <w:t>П</w:t>
      </w:r>
      <w:proofErr w:type="gramEnd"/>
      <w:r w:rsidRPr="00BE7362">
        <w:rPr>
          <w:rFonts w:ascii="Verdana" w:eastAsia="Times New Roman" w:hAnsi="Verdana" w:cs="Times New Roman"/>
          <w:color w:val="333333"/>
          <w:sz w:val="15"/>
          <w:szCs w:val="15"/>
          <w:lang w:eastAsia="ru-RU"/>
        </w:rPr>
        <w:t>ідкреслюється рекомендаційний (а не нормативний) характер розробок, їх освітня функція, а також різний рівень доведеності окремих положень, зумовлених включенням даних рандомізованих і обсерваційних досліджень, метааналізів, критичних оглядів, а також думок експертів.</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 xml:space="preserve">Відзначено, що, крім ступеня АГ, у </w:t>
      </w:r>
      <w:proofErr w:type="gramStart"/>
      <w:r w:rsidRPr="00BE7362">
        <w:rPr>
          <w:rFonts w:ascii="Verdana" w:eastAsia="Times New Roman" w:hAnsi="Verdana" w:cs="Times New Roman"/>
          <w:color w:val="333333"/>
          <w:sz w:val="15"/>
          <w:szCs w:val="15"/>
          <w:lang w:eastAsia="ru-RU"/>
        </w:rPr>
        <w:t>вс</w:t>
      </w:r>
      <w:proofErr w:type="gramEnd"/>
      <w:r w:rsidRPr="00BE7362">
        <w:rPr>
          <w:rFonts w:ascii="Verdana" w:eastAsia="Times New Roman" w:hAnsi="Verdana" w:cs="Times New Roman"/>
          <w:color w:val="333333"/>
          <w:sz w:val="15"/>
          <w:szCs w:val="15"/>
          <w:lang w:eastAsia="ru-RU"/>
        </w:rPr>
        <w:t>іх гіпертензивних пацієнтів повинен оцінюватися загальний кардіоваскулярний ризик, а вже він визначає лікувальну тактику – початок фармакотерапії, пороговий і цільовий артеріальний тиск, застосування комбінованої терапії, необхідність використання статинів тощо. При цьому рекомендують просту у використанні класифікацію загального кардіоваскулярного ризику: низький, помірний, високий і дуже високий додатковий. Це дозволяє охопити категорію хворих з відносно невисоким і навіть нормальним АТ.</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До факторів, найбільш значущих при стратифікації ризику у гіпертензивних пацієнтів, належать: демографічні, антропометричні, анамнестичні (сімейний анамнез, перенесені захворювання, куріння), а також показники артеріального тиску, вмі</w:t>
      </w:r>
      <w:proofErr w:type="gramStart"/>
      <w:r w:rsidRPr="00BE7362">
        <w:rPr>
          <w:rFonts w:ascii="Verdana" w:eastAsia="Times New Roman" w:hAnsi="Verdana" w:cs="Times New Roman"/>
          <w:color w:val="333333"/>
          <w:sz w:val="15"/>
          <w:szCs w:val="15"/>
          <w:lang w:eastAsia="ru-RU"/>
        </w:rPr>
        <w:t>ст</w:t>
      </w:r>
      <w:proofErr w:type="gramEnd"/>
      <w:r w:rsidRPr="00BE7362">
        <w:rPr>
          <w:rFonts w:ascii="Verdana" w:eastAsia="Times New Roman" w:hAnsi="Verdana" w:cs="Times New Roman"/>
          <w:color w:val="333333"/>
          <w:sz w:val="15"/>
          <w:szCs w:val="15"/>
          <w:lang w:eastAsia="ru-RU"/>
        </w:rPr>
        <w:t xml:space="preserve"> глюкози і ліпідів у крові, ступінь ураження органів-мішеней, наявність цукрового діабету та інших асоційованих клінічних стані</w:t>
      </w:r>
      <w:proofErr w:type="gramStart"/>
      <w:r w:rsidRPr="00BE7362">
        <w:rPr>
          <w:rFonts w:ascii="Verdana" w:eastAsia="Times New Roman" w:hAnsi="Verdana" w:cs="Times New Roman"/>
          <w:color w:val="333333"/>
          <w:sz w:val="15"/>
          <w:szCs w:val="15"/>
          <w:lang w:eastAsia="ru-RU"/>
        </w:rPr>
        <w:t>в</w:t>
      </w:r>
      <w:proofErr w:type="gramEnd"/>
      <w:r w:rsidRPr="00BE7362">
        <w:rPr>
          <w:rFonts w:ascii="Verdana" w:eastAsia="Times New Roman" w:hAnsi="Verdana" w:cs="Times New Roman"/>
          <w:color w:val="333333"/>
          <w:sz w:val="15"/>
          <w:szCs w:val="15"/>
          <w:lang w:eastAsia="ru-RU"/>
        </w:rPr>
        <w:t>.</w:t>
      </w: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15"/>
          <w:szCs w:val="15"/>
          <w:lang w:eastAsia="ru-RU"/>
        </w:rPr>
        <w:t>Таким чином, 10-річний досвід виконання</w:t>
      </w:r>
      <w:proofErr w:type="gramStart"/>
      <w:r w:rsidRPr="00BE7362">
        <w:rPr>
          <w:rFonts w:ascii="Verdana" w:eastAsia="Times New Roman" w:hAnsi="Verdana" w:cs="Times New Roman"/>
          <w:color w:val="333333"/>
          <w:sz w:val="15"/>
          <w:szCs w:val="15"/>
          <w:lang w:eastAsia="ru-RU"/>
        </w:rPr>
        <w:t xml:space="preserve"> Д</w:t>
      </w:r>
      <w:proofErr w:type="gramEnd"/>
      <w:r w:rsidRPr="00BE7362">
        <w:rPr>
          <w:rFonts w:ascii="Verdana" w:eastAsia="Times New Roman" w:hAnsi="Verdana" w:cs="Times New Roman"/>
          <w:color w:val="333333"/>
          <w:sz w:val="15"/>
          <w:szCs w:val="15"/>
          <w:lang w:eastAsia="ru-RU"/>
        </w:rPr>
        <w:t>ержавної програми боротьби з гіпертензіями в Україні показав її реальну ефективність та необхідність продовження розроблених заходів.</w:t>
      </w:r>
    </w:p>
    <w:p w:rsidR="00503000" w:rsidRDefault="00503000" w:rsidP="00BE7362">
      <w:pPr>
        <w:spacing w:before="100" w:beforeAutospacing="1" w:after="100" w:afterAutospacing="1" w:line="240" w:lineRule="auto"/>
        <w:jc w:val="both"/>
        <w:rPr>
          <w:rFonts w:ascii="Verdana" w:eastAsia="Times New Roman" w:hAnsi="Verdana" w:cs="Times New Roman"/>
          <w:b/>
          <w:bCs/>
          <w:color w:val="333333"/>
          <w:sz w:val="20"/>
          <w:lang w:val="uk-UA" w:eastAsia="ru-RU"/>
        </w:rPr>
      </w:pPr>
    </w:p>
    <w:p w:rsidR="00BE7362" w:rsidRPr="00BE7362" w:rsidRDefault="00BE7362" w:rsidP="00BE7362">
      <w:pPr>
        <w:spacing w:before="100" w:beforeAutospacing="1" w:after="100" w:afterAutospacing="1" w:line="240" w:lineRule="auto"/>
        <w:jc w:val="both"/>
        <w:rPr>
          <w:rFonts w:ascii="Verdana" w:eastAsia="Times New Roman" w:hAnsi="Verdana" w:cs="Times New Roman"/>
          <w:color w:val="333333"/>
          <w:sz w:val="15"/>
          <w:szCs w:val="15"/>
          <w:lang w:eastAsia="ru-RU"/>
        </w:rPr>
      </w:pPr>
      <w:r w:rsidRPr="00BE7362">
        <w:rPr>
          <w:rFonts w:ascii="Verdana" w:eastAsia="Times New Roman" w:hAnsi="Verdana" w:cs="Times New Roman"/>
          <w:b/>
          <w:bCs/>
          <w:color w:val="333333"/>
          <w:sz w:val="20"/>
          <w:lang w:eastAsia="ru-RU"/>
        </w:rPr>
        <w:lastRenderedPageBreak/>
        <w:t>Література</w:t>
      </w:r>
    </w:p>
    <w:p w:rsidR="00BE7362" w:rsidRPr="00BE7362" w:rsidRDefault="00BE7362" w:rsidP="00BE7362">
      <w:pPr>
        <w:numPr>
          <w:ilvl w:val="0"/>
          <w:numId w:val="2"/>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20"/>
          <w:szCs w:val="20"/>
          <w:lang w:eastAsia="ru-RU"/>
        </w:rPr>
        <w:t>Корнацький В.М. Проблеми здоров’я та подовження тривалості життя населення України // Укр. мед</w:t>
      </w:r>
      <w:proofErr w:type="gramStart"/>
      <w:r w:rsidRPr="00BE7362">
        <w:rPr>
          <w:rFonts w:ascii="Verdana" w:eastAsia="Times New Roman" w:hAnsi="Verdana" w:cs="Times New Roman"/>
          <w:color w:val="333333"/>
          <w:sz w:val="20"/>
          <w:szCs w:val="20"/>
          <w:lang w:eastAsia="ru-RU"/>
        </w:rPr>
        <w:t>.</w:t>
      </w:r>
      <w:proofErr w:type="gramEnd"/>
      <w:r w:rsidRPr="00BE7362">
        <w:rPr>
          <w:rFonts w:ascii="Verdana" w:eastAsia="Times New Roman" w:hAnsi="Verdana" w:cs="Times New Roman"/>
          <w:color w:val="333333"/>
          <w:sz w:val="20"/>
          <w:szCs w:val="20"/>
          <w:lang w:eastAsia="ru-RU"/>
        </w:rPr>
        <w:t xml:space="preserve"> </w:t>
      </w:r>
      <w:proofErr w:type="gramStart"/>
      <w:r w:rsidRPr="00BE7362">
        <w:rPr>
          <w:rFonts w:ascii="Verdana" w:eastAsia="Times New Roman" w:hAnsi="Verdana" w:cs="Times New Roman"/>
          <w:color w:val="333333"/>
          <w:sz w:val="20"/>
          <w:szCs w:val="20"/>
          <w:lang w:eastAsia="ru-RU"/>
        </w:rPr>
        <w:t>ч</w:t>
      </w:r>
      <w:proofErr w:type="gramEnd"/>
      <w:r w:rsidRPr="00BE7362">
        <w:rPr>
          <w:rFonts w:ascii="Verdana" w:eastAsia="Times New Roman" w:hAnsi="Verdana" w:cs="Times New Roman"/>
          <w:color w:val="333333"/>
          <w:sz w:val="20"/>
          <w:szCs w:val="20"/>
          <w:lang w:eastAsia="ru-RU"/>
        </w:rPr>
        <w:t xml:space="preserve">асопис. – 2008. – № 5. – С. 83-87. </w:t>
      </w:r>
    </w:p>
    <w:p w:rsidR="00BE7362" w:rsidRPr="00BE7362" w:rsidRDefault="00BE7362" w:rsidP="00BE7362">
      <w:pPr>
        <w:numPr>
          <w:ilvl w:val="0"/>
          <w:numId w:val="2"/>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20"/>
          <w:szCs w:val="20"/>
          <w:lang w:eastAsia="ru-RU"/>
        </w:rPr>
        <w:t xml:space="preserve">Медико-соціальні аспекти </w:t>
      </w:r>
      <w:proofErr w:type="gramStart"/>
      <w:r w:rsidRPr="00BE7362">
        <w:rPr>
          <w:rFonts w:ascii="Verdana" w:eastAsia="Times New Roman" w:hAnsi="Verdana" w:cs="Times New Roman"/>
          <w:color w:val="333333"/>
          <w:sz w:val="20"/>
          <w:szCs w:val="20"/>
          <w:lang w:eastAsia="ru-RU"/>
        </w:rPr>
        <w:t>хвороб</w:t>
      </w:r>
      <w:proofErr w:type="gramEnd"/>
      <w:r w:rsidRPr="00BE7362">
        <w:rPr>
          <w:rFonts w:ascii="Verdana" w:eastAsia="Times New Roman" w:hAnsi="Verdana" w:cs="Times New Roman"/>
          <w:color w:val="333333"/>
          <w:sz w:val="20"/>
          <w:szCs w:val="20"/>
          <w:lang w:eastAsia="ru-RU"/>
        </w:rPr>
        <w:t xml:space="preserve"> системи кровообігу: Аналітично-статистичний посібник</w:t>
      </w:r>
      <w:proofErr w:type="gramStart"/>
      <w:r w:rsidRPr="00BE7362">
        <w:rPr>
          <w:rFonts w:ascii="Verdana" w:eastAsia="Times New Roman" w:hAnsi="Verdana" w:cs="Times New Roman"/>
          <w:color w:val="333333"/>
          <w:sz w:val="20"/>
          <w:szCs w:val="20"/>
          <w:lang w:eastAsia="ru-RU"/>
        </w:rPr>
        <w:t xml:space="preserve"> / З</w:t>
      </w:r>
      <w:proofErr w:type="gramEnd"/>
      <w:r w:rsidRPr="00BE7362">
        <w:rPr>
          <w:rFonts w:ascii="Verdana" w:eastAsia="Times New Roman" w:hAnsi="Verdana" w:cs="Times New Roman"/>
          <w:color w:val="333333"/>
          <w:sz w:val="20"/>
          <w:szCs w:val="20"/>
          <w:lang w:eastAsia="ru-RU"/>
        </w:rPr>
        <w:t xml:space="preserve">а ред. В. М. Коваленка, В.М. Корнацького. – К.: Медінформ, 2009. – 146 </w:t>
      </w:r>
      <w:proofErr w:type="gramStart"/>
      <w:r w:rsidRPr="00BE7362">
        <w:rPr>
          <w:rFonts w:ascii="Verdana" w:eastAsia="Times New Roman" w:hAnsi="Verdana" w:cs="Times New Roman"/>
          <w:color w:val="333333"/>
          <w:sz w:val="20"/>
          <w:szCs w:val="20"/>
          <w:lang w:eastAsia="ru-RU"/>
        </w:rPr>
        <w:t>с</w:t>
      </w:r>
      <w:proofErr w:type="gramEnd"/>
      <w:r w:rsidRPr="00BE7362">
        <w:rPr>
          <w:rFonts w:ascii="Verdana" w:eastAsia="Times New Roman" w:hAnsi="Verdana" w:cs="Times New Roman"/>
          <w:color w:val="333333"/>
          <w:sz w:val="20"/>
          <w:szCs w:val="20"/>
          <w:lang w:eastAsia="ru-RU"/>
        </w:rPr>
        <w:t xml:space="preserve">. </w:t>
      </w:r>
    </w:p>
    <w:p w:rsidR="00BE7362" w:rsidRPr="00BE7362" w:rsidRDefault="00BE7362" w:rsidP="00BE7362">
      <w:pPr>
        <w:numPr>
          <w:ilvl w:val="0"/>
          <w:numId w:val="2"/>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20"/>
          <w:szCs w:val="20"/>
          <w:lang w:eastAsia="ru-RU"/>
        </w:rPr>
        <w:t xml:space="preserve">Рекомендації Української асоціації кардіологів з </w:t>
      </w:r>
      <w:proofErr w:type="gramStart"/>
      <w:r w:rsidRPr="00BE7362">
        <w:rPr>
          <w:rFonts w:ascii="Verdana" w:eastAsia="Times New Roman" w:hAnsi="Verdana" w:cs="Times New Roman"/>
          <w:color w:val="333333"/>
          <w:sz w:val="20"/>
          <w:szCs w:val="20"/>
          <w:lang w:eastAsia="ru-RU"/>
        </w:rPr>
        <w:t>проф</w:t>
      </w:r>
      <w:proofErr w:type="gramEnd"/>
      <w:r w:rsidRPr="00BE7362">
        <w:rPr>
          <w:rFonts w:ascii="Verdana" w:eastAsia="Times New Roman" w:hAnsi="Verdana" w:cs="Times New Roman"/>
          <w:color w:val="333333"/>
          <w:sz w:val="20"/>
          <w:szCs w:val="20"/>
          <w:lang w:eastAsia="ru-RU"/>
        </w:rPr>
        <w:t xml:space="preserve">ілактики та лікування артеріальної гіпертензії. Посібник до Національної програми профілактики і лікування артеріальної гіпертензії. – 4-те вид. – К.: ПП ВМБ, 2008. – 80 с. </w:t>
      </w:r>
    </w:p>
    <w:p w:rsidR="00BE7362" w:rsidRPr="00BE7362" w:rsidRDefault="00BE7362" w:rsidP="00BE7362">
      <w:pPr>
        <w:numPr>
          <w:ilvl w:val="0"/>
          <w:numId w:val="2"/>
        </w:numPr>
        <w:spacing w:before="100" w:beforeAutospacing="1" w:after="100" w:afterAutospacing="1" w:line="240" w:lineRule="auto"/>
        <w:rPr>
          <w:rFonts w:ascii="Verdana" w:eastAsia="Times New Roman" w:hAnsi="Verdana" w:cs="Times New Roman"/>
          <w:color w:val="333333"/>
          <w:sz w:val="15"/>
          <w:szCs w:val="15"/>
          <w:lang w:eastAsia="ru-RU"/>
        </w:rPr>
      </w:pPr>
      <w:r w:rsidRPr="00BE7362">
        <w:rPr>
          <w:rFonts w:ascii="Verdana" w:eastAsia="Times New Roman" w:hAnsi="Verdana" w:cs="Times New Roman"/>
          <w:color w:val="333333"/>
          <w:sz w:val="20"/>
          <w:szCs w:val="20"/>
          <w:lang w:eastAsia="ru-RU"/>
        </w:rPr>
        <w:t>Хвороби системи кровообігу: динаміка та аналіз. Аналітично-статистичний посібник</w:t>
      </w:r>
      <w:proofErr w:type="gramStart"/>
      <w:r w:rsidRPr="00BE7362">
        <w:rPr>
          <w:rFonts w:ascii="Verdana" w:eastAsia="Times New Roman" w:hAnsi="Verdana" w:cs="Times New Roman"/>
          <w:color w:val="333333"/>
          <w:sz w:val="20"/>
          <w:szCs w:val="20"/>
          <w:lang w:eastAsia="ru-RU"/>
        </w:rPr>
        <w:t xml:space="preserve"> / З</w:t>
      </w:r>
      <w:proofErr w:type="gramEnd"/>
      <w:r w:rsidRPr="00BE7362">
        <w:rPr>
          <w:rFonts w:ascii="Verdana" w:eastAsia="Times New Roman" w:hAnsi="Verdana" w:cs="Times New Roman"/>
          <w:color w:val="333333"/>
          <w:sz w:val="20"/>
          <w:szCs w:val="20"/>
          <w:lang w:eastAsia="ru-RU"/>
        </w:rPr>
        <w:t>а ред. В.М. Коваленка. – К.: ЛІНО, 2008. – 111 с.</w:t>
      </w:r>
    </w:p>
    <w:p w:rsidR="00BE7362" w:rsidRPr="00BE7362" w:rsidRDefault="00BE7362">
      <w:pPr>
        <w:rPr>
          <w:lang w:val="uk-UA"/>
        </w:rPr>
      </w:pPr>
    </w:p>
    <w:sectPr w:rsidR="00BE7362" w:rsidRPr="00BE7362" w:rsidSect="00BE73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2D4"/>
    <w:multiLevelType w:val="multilevel"/>
    <w:tmpl w:val="6B3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4E3440"/>
    <w:multiLevelType w:val="multilevel"/>
    <w:tmpl w:val="8D9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E7362"/>
    <w:rsid w:val="000017E4"/>
    <w:rsid w:val="00002A27"/>
    <w:rsid w:val="00003E53"/>
    <w:rsid w:val="00003EDA"/>
    <w:rsid w:val="00005897"/>
    <w:rsid w:val="00005F11"/>
    <w:rsid w:val="00006C55"/>
    <w:rsid w:val="00007608"/>
    <w:rsid w:val="00010097"/>
    <w:rsid w:val="000118BF"/>
    <w:rsid w:val="00012BAE"/>
    <w:rsid w:val="00013048"/>
    <w:rsid w:val="0001442E"/>
    <w:rsid w:val="00017603"/>
    <w:rsid w:val="00020254"/>
    <w:rsid w:val="0002077D"/>
    <w:rsid w:val="00023B8E"/>
    <w:rsid w:val="00025D4D"/>
    <w:rsid w:val="000277DF"/>
    <w:rsid w:val="00032F17"/>
    <w:rsid w:val="00033567"/>
    <w:rsid w:val="0003375F"/>
    <w:rsid w:val="00036692"/>
    <w:rsid w:val="00036C99"/>
    <w:rsid w:val="00037F54"/>
    <w:rsid w:val="0004089D"/>
    <w:rsid w:val="00043D41"/>
    <w:rsid w:val="00044543"/>
    <w:rsid w:val="00044B2D"/>
    <w:rsid w:val="00045837"/>
    <w:rsid w:val="00051AA9"/>
    <w:rsid w:val="00051E88"/>
    <w:rsid w:val="00053D3B"/>
    <w:rsid w:val="0005594D"/>
    <w:rsid w:val="00056271"/>
    <w:rsid w:val="000566E7"/>
    <w:rsid w:val="00056DF9"/>
    <w:rsid w:val="00057F03"/>
    <w:rsid w:val="00060DF5"/>
    <w:rsid w:val="00060EE6"/>
    <w:rsid w:val="000638AF"/>
    <w:rsid w:val="00064B23"/>
    <w:rsid w:val="000655EA"/>
    <w:rsid w:val="00067270"/>
    <w:rsid w:val="0006769E"/>
    <w:rsid w:val="00067F7D"/>
    <w:rsid w:val="00071934"/>
    <w:rsid w:val="00071E3B"/>
    <w:rsid w:val="000720EC"/>
    <w:rsid w:val="000729B1"/>
    <w:rsid w:val="0007349C"/>
    <w:rsid w:val="00075147"/>
    <w:rsid w:val="000755FE"/>
    <w:rsid w:val="0007565D"/>
    <w:rsid w:val="00075935"/>
    <w:rsid w:val="0007777D"/>
    <w:rsid w:val="00080243"/>
    <w:rsid w:val="000808E5"/>
    <w:rsid w:val="00084124"/>
    <w:rsid w:val="00084550"/>
    <w:rsid w:val="00085661"/>
    <w:rsid w:val="000910FB"/>
    <w:rsid w:val="0009244F"/>
    <w:rsid w:val="000928FE"/>
    <w:rsid w:val="00092B86"/>
    <w:rsid w:val="00092D95"/>
    <w:rsid w:val="000957C9"/>
    <w:rsid w:val="00095820"/>
    <w:rsid w:val="000A259E"/>
    <w:rsid w:val="000A68C2"/>
    <w:rsid w:val="000B1097"/>
    <w:rsid w:val="000B2328"/>
    <w:rsid w:val="000B23A0"/>
    <w:rsid w:val="000B4430"/>
    <w:rsid w:val="000B477D"/>
    <w:rsid w:val="000B4B8F"/>
    <w:rsid w:val="000B7D35"/>
    <w:rsid w:val="000C03FD"/>
    <w:rsid w:val="000C2E0E"/>
    <w:rsid w:val="000C2ED3"/>
    <w:rsid w:val="000C2F76"/>
    <w:rsid w:val="000C7600"/>
    <w:rsid w:val="000D0B22"/>
    <w:rsid w:val="000D11CE"/>
    <w:rsid w:val="000D6044"/>
    <w:rsid w:val="000E0E99"/>
    <w:rsid w:val="000E11D6"/>
    <w:rsid w:val="000E213E"/>
    <w:rsid w:val="000E4729"/>
    <w:rsid w:val="000E50F0"/>
    <w:rsid w:val="000E71D6"/>
    <w:rsid w:val="000E75AF"/>
    <w:rsid w:val="000E7B44"/>
    <w:rsid w:val="000F09AE"/>
    <w:rsid w:val="000F0D4E"/>
    <w:rsid w:val="000F10DC"/>
    <w:rsid w:val="000F658F"/>
    <w:rsid w:val="000F7731"/>
    <w:rsid w:val="000F7E84"/>
    <w:rsid w:val="0010060C"/>
    <w:rsid w:val="00101F23"/>
    <w:rsid w:val="0010373F"/>
    <w:rsid w:val="001037E6"/>
    <w:rsid w:val="00103BDA"/>
    <w:rsid w:val="0010422E"/>
    <w:rsid w:val="001047DA"/>
    <w:rsid w:val="00105C36"/>
    <w:rsid w:val="0010705F"/>
    <w:rsid w:val="001079A4"/>
    <w:rsid w:val="00110AE6"/>
    <w:rsid w:val="00111572"/>
    <w:rsid w:val="00111E93"/>
    <w:rsid w:val="001128DD"/>
    <w:rsid w:val="00113164"/>
    <w:rsid w:val="001132A6"/>
    <w:rsid w:val="0011405C"/>
    <w:rsid w:val="0011413B"/>
    <w:rsid w:val="00114DBD"/>
    <w:rsid w:val="00115086"/>
    <w:rsid w:val="001156B0"/>
    <w:rsid w:val="00116558"/>
    <w:rsid w:val="00116562"/>
    <w:rsid w:val="001178FF"/>
    <w:rsid w:val="0012463F"/>
    <w:rsid w:val="00124976"/>
    <w:rsid w:val="00124C67"/>
    <w:rsid w:val="00125161"/>
    <w:rsid w:val="001256D7"/>
    <w:rsid w:val="00125782"/>
    <w:rsid w:val="00130282"/>
    <w:rsid w:val="001302C4"/>
    <w:rsid w:val="00130667"/>
    <w:rsid w:val="001306D9"/>
    <w:rsid w:val="001309E6"/>
    <w:rsid w:val="00130FD1"/>
    <w:rsid w:val="0013256B"/>
    <w:rsid w:val="001343E4"/>
    <w:rsid w:val="001360E6"/>
    <w:rsid w:val="00136609"/>
    <w:rsid w:val="0014181E"/>
    <w:rsid w:val="00142BDA"/>
    <w:rsid w:val="00143698"/>
    <w:rsid w:val="00143F3E"/>
    <w:rsid w:val="00144092"/>
    <w:rsid w:val="00146DAD"/>
    <w:rsid w:val="001501A9"/>
    <w:rsid w:val="001522FC"/>
    <w:rsid w:val="0015397A"/>
    <w:rsid w:val="00153A8B"/>
    <w:rsid w:val="00153BF0"/>
    <w:rsid w:val="00154C2F"/>
    <w:rsid w:val="00154CF8"/>
    <w:rsid w:val="00157C3C"/>
    <w:rsid w:val="001607B5"/>
    <w:rsid w:val="00160986"/>
    <w:rsid w:val="00162A26"/>
    <w:rsid w:val="00163092"/>
    <w:rsid w:val="0016312A"/>
    <w:rsid w:val="00165BE5"/>
    <w:rsid w:val="00165D34"/>
    <w:rsid w:val="00166D0E"/>
    <w:rsid w:val="001671DE"/>
    <w:rsid w:val="001701D7"/>
    <w:rsid w:val="0017064E"/>
    <w:rsid w:val="00170B0A"/>
    <w:rsid w:val="001717E5"/>
    <w:rsid w:val="00171D18"/>
    <w:rsid w:val="0017249A"/>
    <w:rsid w:val="00172F18"/>
    <w:rsid w:val="00173270"/>
    <w:rsid w:val="00173657"/>
    <w:rsid w:val="0017367B"/>
    <w:rsid w:val="00173B13"/>
    <w:rsid w:val="00174545"/>
    <w:rsid w:val="0017454D"/>
    <w:rsid w:val="00174EC8"/>
    <w:rsid w:val="0017593C"/>
    <w:rsid w:val="00175BA1"/>
    <w:rsid w:val="00176F2B"/>
    <w:rsid w:val="00177D40"/>
    <w:rsid w:val="00180640"/>
    <w:rsid w:val="00183A85"/>
    <w:rsid w:val="001854C1"/>
    <w:rsid w:val="00190540"/>
    <w:rsid w:val="00194A64"/>
    <w:rsid w:val="001950AF"/>
    <w:rsid w:val="00195940"/>
    <w:rsid w:val="00196AD9"/>
    <w:rsid w:val="0019762F"/>
    <w:rsid w:val="001A28FE"/>
    <w:rsid w:val="001A2B92"/>
    <w:rsid w:val="001A446A"/>
    <w:rsid w:val="001A6D34"/>
    <w:rsid w:val="001A70C4"/>
    <w:rsid w:val="001B1099"/>
    <w:rsid w:val="001B171F"/>
    <w:rsid w:val="001B2E86"/>
    <w:rsid w:val="001B3C87"/>
    <w:rsid w:val="001B5D0E"/>
    <w:rsid w:val="001B6D26"/>
    <w:rsid w:val="001B7848"/>
    <w:rsid w:val="001B7949"/>
    <w:rsid w:val="001C07B5"/>
    <w:rsid w:val="001C2078"/>
    <w:rsid w:val="001C2F4F"/>
    <w:rsid w:val="001C509C"/>
    <w:rsid w:val="001C64CE"/>
    <w:rsid w:val="001C739F"/>
    <w:rsid w:val="001D0425"/>
    <w:rsid w:val="001D0B46"/>
    <w:rsid w:val="001D0BCB"/>
    <w:rsid w:val="001D0D84"/>
    <w:rsid w:val="001D27CF"/>
    <w:rsid w:val="001D43AE"/>
    <w:rsid w:val="001D55DD"/>
    <w:rsid w:val="001E06E1"/>
    <w:rsid w:val="001E161F"/>
    <w:rsid w:val="001E1842"/>
    <w:rsid w:val="001E18DD"/>
    <w:rsid w:val="001E3377"/>
    <w:rsid w:val="001E3CF0"/>
    <w:rsid w:val="001E3E0F"/>
    <w:rsid w:val="001E6EF2"/>
    <w:rsid w:val="001E733B"/>
    <w:rsid w:val="001F240F"/>
    <w:rsid w:val="001F26D8"/>
    <w:rsid w:val="001F2B16"/>
    <w:rsid w:val="001F2CA8"/>
    <w:rsid w:val="001F3712"/>
    <w:rsid w:val="001F3FAA"/>
    <w:rsid w:val="001F405F"/>
    <w:rsid w:val="001F59FF"/>
    <w:rsid w:val="001F6080"/>
    <w:rsid w:val="00202C6D"/>
    <w:rsid w:val="002040D9"/>
    <w:rsid w:val="00204483"/>
    <w:rsid w:val="0020458A"/>
    <w:rsid w:val="00205F53"/>
    <w:rsid w:val="00206160"/>
    <w:rsid w:val="00207767"/>
    <w:rsid w:val="002078D0"/>
    <w:rsid w:val="002079EE"/>
    <w:rsid w:val="00207C0F"/>
    <w:rsid w:val="002110AC"/>
    <w:rsid w:val="002116A3"/>
    <w:rsid w:val="00212122"/>
    <w:rsid w:val="0021213B"/>
    <w:rsid w:val="00212EB4"/>
    <w:rsid w:val="00213ACA"/>
    <w:rsid w:val="00213E92"/>
    <w:rsid w:val="00214F54"/>
    <w:rsid w:val="0022143F"/>
    <w:rsid w:val="00222886"/>
    <w:rsid w:val="00226D94"/>
    <w:rsid w:val="00230752"/>
    <w:rsid w:val="002314ED"/>
    <w:rsid w:val="00231657"/>
    <w:rsid w:val="002326F9"/>
    <w:rsid w:val="0023310A"/>
    <w:rsid w:val="0023427E"/>
    <w:rsid w:val="002372D6"/>
    <w:rsid w:val="002377AC"/>
    <w:rsid w:val="002405EC"/>
    <w:rsid w:val="00241557"/>
    <w:rsid w:val="00242188"/>
    <w:rsid w:val="002424FF"/>
    <w:rsid w:val="00242CD1"/>
    <w:rsid w:val="002431BD"/>
    <w:rsid w:val="00244FB7"/>
    <w:rsid w:val="00246142"/>
    <w:rsid w:val="0024676F"/>
    <w:rsid w:val="0024774D"/>
    <w:rsid w:val="002478A3"/>
    <w:rsid w:val="00251493"/>
    <w:rsid w:val="00251D51"/>
    <w:rsid w:val="00256EA7"/>
    <w:rsid w:val="002610E3"/>
    <w:rsid w:val="00265AA4"/>
    <w:rsid w:val="00266647"/>
    <w:rsid w:val="002669BE"/>
    <w:rsid w:val="002708AC"/>
    <w:rsid w:val="002725CC"/>
    <w:rsid w:val="0027284D"/>
    <w:rsid w:val="002735CE"/>
    <w:rsid w:val="00276585"/>
    <w:rsid w:val="002770B4"/>
    <w:rsid w:val="0027743F"/>
    <w:rsid w:val="00277561"/>
    <w:rsid w:val="0027776C"/>
    <w:rsid w:val="00277A37"/>
    <w:rsid w:val="002806C4"/>
    <w:rsid w:val="0028134A"/>
    <w:rsid w:val="00281838"/>
    <w:rsid w:val="00282EEE"/>
    <w:rsid w:val="00284546"/>
    <w:rsid w:val="00284D7C"/>
    <w:rsid w:val="00284EA9"/>
    <w:rsid w:val="00292455"/>
    <w:rsid w:val="00292DFA"/>
    <w:rsid w:val="00293B30"/>
    <w:rsid w:val="002955F1"/>
    <w:rsid w:val="00295723"/>
    <w:rsid w:val="00295F03"/>
    <w:rsid w:val="00296ACA"/>
    <w:rsid w:val="00296E25"/>
    <w:rsid w:val="0029735C"/>
    <w:rsid w:val="002A0433"/>
    <w:rsid w:val="002A0D88"/>
    <w:rsid w:val="002A2430"/>
    <w:rsid w:val="002A243E"/>
    <w:rsid w:val="002A492D"/>
    <w:rsid w:val="002A5572"/>
    <w:rsid w:val="002A5AA6"/>
    <w:rsid w:val="002A7183"/>
    <w:rsid w:val="002A75F5"/>
    <w:rsid w:val="002B04A3"/>
    <w:rsid w:val="002B06A4"/>
    <w:rsid w:val="002B257B"/>
    <w:rsid w:val="002B2DF8"/>
    <w:rsid w:val="002B4FDD"/>
    <w:rsid w:val="002B5A9D"/>
    <w:rsid w:val="002B629D"/>
    <w:rsid w:val="002B6ACD"/>
    <w:rsid w:val="002C03CE"/>
    <w:rsid w:val="002C32BD"/>
    <w:rsid w:val="002C5123"/>
    <w:rsid w:val="002C69F1"/>
    <w:rsid w:val="002C6A81"/>
    <w:rsid w:val="002D08C0"/>
    <w:rsid w:val="002D08DF"/>
    <w:rsid w:val="002D23AE"/>
    <w:rsid w:val="002D2AFE"/>
    <w:rsid w:val="002D3592"/>
    <w:rsid w:val="002D4139"/>
    <w:rsid w:val="002E1DA0"/>
    <w:rsid w:val="002E25B4"/>
    <w:rsid w:val="002E3374"/>
    <w:rsid w:val="002E3C0F"/>
    <w:rsid w:val="002E55DB"/>
    <w:rsid w:val="002E629C"/>
    <w:rsid w:val="002E6A40"/>
    <w:rsid w:val="002F215C"/>
    <w:rsid w:val="002F29D4"/>
    <w:rsid w:val="002F2D25"/>
    <w:rsid w:val="002F44BB"/>
    <w:rsid w:val="002F53F7"/>
    <w:rsid w:val="002F5EEF"/>
    <w:rsid w:val="002F726B"/>
    <w:rsid w:val="003006A2"/>
    <w:rsid w:val="003026F9"/>
    <w:rsid w:val="00302811"/>
    <w:rsid w:val="003037B3"/>
    <w:rsid w:val="00306681"/>
    <w:rsid w:val="00307FC7"/>
    <w:rsid w:val="0031076F"/>
    <w:rsid w:val="00311A53"/>
    <w:rsid w:val="003135B9"/>
    <w:rsid w:val="0031434B"/>
    <w:rsid w:val="003152D9"/>
    <w:rsid w:val="00315953"/>
    <w:rsid w:val="00323344"/>
    <w:rsid w:val="003255DC"/>
    <w:rsid w:val="00326C9F"/>
    <w:rsid w:val="003274D5"/>
    <w:rsid w:val="00327976"/>
    <w:rsid w:val="003307EE"/>
    <w:rsid w:val="003320EC"/>
    <w:rsid w:val="00335811"/>
    <w:rsid w:val="00337001"/>
    <w:rsid w:val="0034006C"/>
    <w:rsid w:val="003432BC"/>
    <w:rsid w:val="0034521B"/>
    <w:rsid w:val="0034650C"/>
    <w:rsid w:val="00347C4C"/>
    <w:rsid w:val="003504A6"/>
    <w:rsid w:val="00350BA4"/>
    <w:rsid w:val="00350DA7"/>
    <w:rsid w:val="00353519"/>
    <w:rsid w:val="00355ABF"/>
    <w:rsid w:val="00356A39"/>
    <w:rsid w:val="00356B97"/>
    <w:rsid w:val="00356C60"/>
    <w:rsid w:val="003601A8"/>
    <w:rsid w:val="00360464"/>
    <w:rsid w:val="00360FB2"/>
    <w:rsid w:val="003645C2"/>
    <w:rsid w:val="00365AC5"/>
    <w:rsid w:val="00365FF9"/>
    <w:rsid w:val="0037181C"/>
    <w:rsid w:val="00371F51"/>
    <w:rsid w:val="0037245D"/>
    <w:rsid w:val="00372631"/>
    <w:rsid w:val="00372E3E"/>
    <w:rsid w:val="00373581"/>
    <w:rsid w:val="003741F2"/>
    <w:rsid w:val="00374EDF"/>
    <w:rsid w:val="00377333"/>
    <w:rsid w:val="003805A5"/>
    <w:rsid w:val="00381B06"/>
    <w:rsid w:val="0038214A"/>
    <w:rsid w:val="00382CEE"/>
    <w:rsid w:val="00383297"/>
    <w:rsid w:val="00385543"/>
    <w:rsid w:val="00385F69"/>
    <w:rsid w:val="00386952"/>
    <w:rsid w:val="003876EA"/>
    <w:rsid w:val="00390028"/>
    <w:rsid w:val="00392A27"/>
    <w:rsid w:val="00392C33"/>
    <w:rsid w:val="00392E2E"/>
    <w:rsid w:val="003931B8"/>
    <w:rsid w:val="00393D65"/>
    <w:rsid w:val="00393E6D"/>
    <w:rsid w:val="00393F7D"/>
    <w:rsid w:val="00395A34"/>
    <w:rsid w:val="0039651C"/>
    <w:rsid w:val="0039776C"/>
    <w:rsid w:val="00397D80"/>
    <w:rsid w:val="00397E7A"/>
    <w:rsid w:val="003A0B29"/>
    <w:rsid w:val="003A15EB"/>
    <w:rsid w:val="003A4939"/>
    <w:rsid w:val="003A5D41"/>
    <w:rsid w:val="003A5FDF"/>
    <w:rsid w:val="003A6D07"/>
    <w:rsid w:val="003B0236"/>
    <w:rsid w:val="003B08B9"/>
    <w:rsid w:val="003B1440"/>
    <w:rsid w:val="003B14B9"/>
    <w:rsid w:val="003B2BB5"/>
    <w:rsid w:val="003B3702"/>
    <w:rsid w:val="003B385F"/>
    <w:rsid w:val="003B53B1"/>
    <w:rsid w:val="003B590A"/>
    <w:rsid w:val="003B75E4"/>
    <w:rsid w:val="003B7650"/>
    <w:rsid w:val="003B7C27"/>
    <w:rsid w:val="003C1F2C"/>
    <w:rsid w:val="003C2DD1"/>
    <w:rsid w:val="003C2E1F"/>
    <w:rsid w:val="003C5409"/>
    <w:rsid w:val="003D29A1"/>
    <w:rsid w:val="003D3E91"/>
    <w:rsid w:val="003D5430"/>
    <w:rsid w:val="003D568B"/>
    <w:rsid w:val="003D58E7"/>
    <w:rsid w:val="003D7A9F"/>
    <w:rsid w:val="003E082C"/>
    <w:rsid w:val="003E134F"/>
    <w:rsid w:val="003E181A"/>
    <w:rsid w:val="003E52A0"/>
    <w:rsid w:val="003E6513"/>
    <w:rsid w:val="003F046E"/>
    <w:rsid w:val="003F21B1"/>
    <w:rsid w:val="003F3485"/>
    <w:rsid w:val="003F52D5"/>
    <w:rsid w:val="003F5C6A"/>
    <w:rsid w:val="003F6378"/>
    <w:rsid w:val="003F71BD"/>
    <w:rsid w:val="003F7568"/>
    <w:rsid w:val="003F7C97"/>
    <w:rsid w:val="00400293"/>
    <w:rsid w:val="0040202A"/>
    <w:rsid w:val="004024B9"/>
    <w:rsid w:val="00402C38"/>
    <w:rsid w:val="00403A3A"/>
    <w:rsid w:val="00403DE2"/>
    <w:rsid w:val="00404EBA"/>
    <w:rsid w:val="00406042"/>
    <w:rsid w:val="00406986"/>
    <w:rsid w:val="00407882"/>
    <w:rsid w:val="0041133B"/>
    <w:rsid w:val="004131B5"/>
    <w:rsid w:val="00413509"/>
    <w:rsid w:val="004140CC"/>
    <w:rsid w:val="00414F4C"/>
    <w:rsid w:val="00415506"/>
    <w:rsid w:val="004168CB"/>
    <w:rsid w:val="00416DAE"/>
    <w:rsid w:val="004177B1"/>
    <w:rsid w:val="00417A6F"/>
    <w:rsid w:val="0042048C"/>
    <w:rsid w:val="00421CDA"/>
    <w:rsid w:val="00422CA7"/>
    <w:rsid w:val="004232B8"/>
    <w:rsid w:val="004249D9"/>
    <w:rsid w:val="004264C6"/>
    <w:rsid w:val="00426E90"/>
    <w:rsid w:val="0042727F"/>
    <w:rsid w:val="004275DF"/>
    <w:rsid w:val="004339CB"/>
    <w:rsid w:val="00434406"/>
    <w:rsid w:val="00434C2C"/>
    <w:rsid w:val="0043569F"/>
    <w:rsid w:val="00440D76"/>
    <w:rsid w:val="004416F5"/>
    <w:rsid w:val="00442302"/>
    <w:rsid w:val="00442740"/>
    <w:rsid w:val="004433F1"/>
    <w:rsid w:val="00444A74"/>
    <w:rsid w:val="004454A2"/>
    <w:rsid w:val="004457C1"/>
    <w:rsid w:val="004474CA"/>
    <w:rsid w:val="004479A9"/>
    <w:rsid w:val="004516DA"/>
    <w:rsid w:val="00452751"/>
    <w:rsid w:val="00453D6F"/>
    <w:rsid w:val="0045498D"/>
    <w:rsid w:val="00455226"/>
    <w:rsid w:val="00455C7A"/>
    <w:rsid w:val="00457392"/>
    <w:rsid w:val="00460A93"/>
    <w:rsid w:val="00461BD4"/>
    <w:rsid w:val="004626B8"/>
    <w:rsid w:val="00462882"/>
    <w:rsid w:val="00466B44"/>
    <w:rsid w:val="00466F9D"/>
    <w:rsid w:val="0047115B"/>
    <w:rsid w:val="00472026"/>
    <w:rsid w:val="004751FA"/>
    <w:rsid w:val="00476CDD"/>
    <w:rsid w:val="00477A17"/>
    <w:rsid w:val="004805BC"/>
    <w:rsid w:val="004813A5"/>
    <w:rsid w:val="004823FF"/>
    <w:rsid w:val="00483D05"/>
    <w:rsid w:val="00486493"/>
    <w:rsid w:val="004866A6"/>
    <w:rsid w:val="0049001B"/>
    <w:rsid w:val="00491724"/>
    <w:rsid w:val="00491D80"/>
    <w:rsid w:val="00496FE1"/>
    <w:rsid w:val="0049788D"/>
    <w:rsid w:val="004A0834"/>
    <w:rsid w:val="004A104E"/>
    <w:rsid w:val="004A2344"/>
    <w:rsid w:val="004A2919"/>
    <w:rsid w:val="004A2941"/>
    <w:rsid w:val="004A5134"/>
    <w:rsid w:val="004A6BCF"/>
    <w:rsid w:val="004A73B3"/>
    <w:rsid w:val="004A73DB"/>
    <w:rsid w:val="004A7DA2"/>
    <w:rsid w:val="004B309F"/>
    <w:rsid w:val="004B31AA"/>
    <w:rsid w:val="004B5037"/>
    <w:rsid w:val="004B7046"/>
    <w:rsid w:val="004C0703"/>
    <w:rsid w:val="004C0B35"/>
    <w:rsid w:val="004C15AE"/>
    <w:rsid w:val="004C338E"/>
    <w:rsid w:val="004C3D1A"/>
    <w:rsid w:val="004C3EEE"/>
    <w:rsid w:val="004C46D5"/>
    <w:rsid w:val="004C5A62"/>
    <w:rsid w:val="004C7E0E"/>
    <w:rsid w:val="004D00EE"/>
    <w:rsid w:val="004D0453"/>
    <w:rsid w:val="004D15D5"/>
    <w:rsid w:val="004D387A"/>
    <w:rsid w:val="004D3B86"/>
    <w:rsid w:val="004D482F"/>
    <w:rsid w:val="004D4BBF"/>
    <w:rsid w:val="004D6499"/>
    <w:rsid w:val="004D6D07"/>
    <w:rsid w:val="004D765E"/>
    <w:rsid w:val="004E0628"/>
    <w:rsid w:val="004E1FC3"/>
    <w:rsid w:val="004E2686"/>
    <w:rsid w:val="004E37B0"/>
    <w:rsid w:val="004E3E14"/>
    <w:rsid w:val="004E56B9"/>
    <w:rsid w:val="004E5BD1"/>
    <w:rsid w:val="004E6622"/>
    <w:rsid w:val="004E7A07"/>
    <w:rsid w:val="004F2EDA"/>
    <w:rsid w:val="004F3290"/>
    <w:rsid w:val="004F6781"/>
    <w:rsid w:val="00500118"/>
    <w:rsid w:val="00500735"/>
    <w:rsid w:val="00500E45"/>
    <w:rsid w:val="0050172C"/>
    <w:rsid w:val="00502628"/>
    <w:rsid w:val="00502A04"/>
    <w:rsid w:val="00502A73"/>
    <w:rsid w:val="00503000"/>
    <w:rsid w:val="005032EC"/>
    <w:rsid w:val="0050371D"/>
    <w:rsid w:val="00503DD1"/>
    <w:rsid w:val="005079AF"/>
    <w:rsid w:val="00510276"/>
    <w:rsid w:val="005123BB"/>
    <w:rsid w:val="005128EF"/>
    <w:rsid w:val="00512DC3"/>
    <w:rsid w:val="00513BF9"/>
    <w:rsid w:val="00514815"/>
    <w:rsid w:val="0051566E"/>
    <w:rsid w:val="00520295"/>
    <w:rsid w:val="00521ED1"/>
    <w:rsid w:val="005225F0"/>
    <w:rsid w:val="00522653"/>
    <w:rsid w:val="0052446B"/>
    <w:rsid w:val="00524827"/>
    <w:rsid w:val="00524897"/>
    <w:rsid w:val="00524BF5"/>
    <w:rsid w:val="00524FF7"/>
    <w:rsid w:val="0053082D"/>
    <w:rsid w:val="00532A9E"/>
    <w:rsid w:val="0053381E"/>
    <w:rsid w:val="005339F4"/>
    <w:rsid w:val="005357ED"/>
    <w:rsid w:val="005371D5"/>
    <w:rsid w:val="00537B60"/>
    <w:rsid w:val="00540195"/>
    <w:rsid w:val="00540953"/>
    <w:rsid w:val="00541487"/>
    <w:rsid w:val="00542C32"/>
    <w:rsid w:val="00543554"/>
    <w:rsid w:val="00544363"/>
    <w:rsid w:val="005448FE"/>
    <w:rsid w:val="00544C12"/>
    <w:rsid w:val="00550F16"/>
    <w:rsid w:val="00552288"/>
    <w:rsid w:val="00552D34"/>
    <w:rsid w:val="00554F17"/>
    <w:rsid w:val="0055598F"/>
    <w:rsid w:val="00560129"/>
    <w:rsid w:val="005617B3"/>
    <w:rsid w:val="00562270"/>
    <w:rsid w:val="0056263E"/>
    <w:rsid w:val="005632E1"/>
    <w:rsid w:val="00564A7C"/>
    <w:rsid w:val="00564C91"/>
    <w:rsid w:val="00571B18"/>
    <w:rsid w:val="00571DC8"/>
    <w:rsid w:val="00572426"/>
    <w:rsid w:val="00572A5B"/>
    <w:rsid w:val="00573013"/>
    <w:rsid w:val="00573F44"/>
    <w:rsid w:val="0057521B"/>
    <w:rsid w:val="00577B46"/>
    <w:rsid w:val="00577CDC"/>
    <w:rsid w:val="00580948"/>
    <w:rsid w:val="00583113"/>
    <w:rsid w:val="00583FA6"/>
    <w:rsid w:val="005841F5"/>
    <w:rsid w:val="00586DF0"/>
    <w:rsid w:val="00590832"/>
    <w:rsid w:val="00591D7D"/>
    <w:rsid w:val="005939A3"/>
    <w:rsid w:val="005957E6"/>
    <w:rsid w:val="0059668A"/>
    <w:rsid w:val="00596F51"/>
    <w:rsid w:val="00597202"/>
    <w:rsid w:val="005A32A8"/>
    <w:rsid w:val="005A3D8E"/>
    <w:rsid w:val="005A4552"/>
    <w:rsid w:val="005A5215"/>
    <w:rsid w:val="005A7E57"/>
    <w:rsid w:val="005B0D0D"/>
    <w:rsid w:val="005B2DF7"/>
    <w:rsid w:val="005B3F62"/>
    <w:rsid w:val="005B66EA"/>
    <w:rsid w:val="005C0305"/>
    <w:rsid w:val="005C0308"/>
    <w:rsid w:val="005C0C89"/>
    <w:rsid w:val="005C0E55"/>
    <w:rsid w:val="005C2C18"/>
    <w:rsid w:val="005C395A"/>
    <w:rsid w:val="005C3B25"/>
    <w:rsid w:val="005C7900"/>
    <w:rsid w:val="005C7B20"/>
    <w:rsid w:val="005D06B7"/>
    <w:rsid w:val="005D0A4C"/>
    <w:rsid w:val="005D1493"/>
    <w:rsid w:val="005D1BFF"/>
    <w:rsid w:val="005D2AC2"/>
    <w:rsid w:val="005D3412"/>
    <w:rsid w:val="005D46AC"/>
    <w:rsid w:val="005D4D5E"/>
    <w:rsid w:val="005D5A7B"/>
    <w:rsid w:val="005D692D"/>
    <w:rsid w:val="005E1816"/>
    <w:rsid w:val="005E355C"/>
    <w:rsid w:val="005E38C5"/>
    <w:rsid w:val="005E3FF3"/>
    <w:rsid w:val="005E5137"/>
    <w:rsid w:val="005E72D3"/>
    <w:rsid w:val="005F0A80"/>
    <w:rsid w:val="005F20AC"/>
    <w:rsid w:val="005F23F2"/>
    <w:rsid w:val="005F31DF"/>
    <w:rsid w:val="005F384F"/>
    <w:rsid w:val="005F3876"/>
    <w:rsid w:val="005F5AEA"/>
    <w:rsid w:val="005F72AE"/>
    <w:rsid w:val="005F7869"/>
    <w:rsid w:val="00600FF7"/>
    <w:rsid w:val="00603F91"/>
    <w:rsid w:val="00606078"/>
    <w:rsid w:val="0060678B"/>
    <w:rsid w:val="006074EC"/>
    <w:rsid w:val="006124D6"/>
    <w:rsid w:val="00612A7D"/>
    <w:rsid w:val="006134EA"/>
    <w:rsid w:val="00614632"/>
    <w:rsid w:val="0061570E"/>
    <w:rsid w:val="00622338"/>
    <w:rsid w:val="0062392B"/>
    <w:rsid w:val="006248BE"/>
    <w:rsid w:val="0062531D"/>
    <w:rsid w:val="006254DB"/>
    <w:rsid w:val="006258C4"/>
    <w:rsid w:val="006259D6"/>
    <w:rsid w:val="00626AE0"/>
    <w:rsid w:val="00627463"/>
    <w:rsid w:val="0062776F"/>
    <w:rsid w:val="00627BA9"/>
    <w:rsid w:val="00632A86"/>
    <w:rsid w:val="006331CA"/>
    <w:rsid w:val="0063408A"/>
    <w:rsid w:val="00634564"/>
    <w:rsid w:val="006351B5"/>
    <w:rsid w:val="00635287"/>
    <w:rsid w:val="00635C9D"/>
    <w:rsid w:val="0063746E"/>
    <w:rsid w:val="00637498"/>
    <w:rsid w:val="006376A8"/>
    <w:rsid w:val="006402E6"/>
    <w:rsid w:val="006415F8"/>
    <w:rsid w:val="006431DD"/>
    <w:rsid w:val="006448E1"/>
    <w:rsid w:val="00644EF2"/>
    <w:rsid w:val="006461FE"/>
    <w:rsid w:val="006501EE"/>
    <w:rsid w:val="00651CCC"/>
    <w:rsid w:val="0065465B"/>
    <w:rsid w:val="00654D8D"/>
    <w:rsid w:val="00655C41"/>
    <w:rsid w:val="00657BAD"/>
    <w:rsid w:val="006627CA"/>
    <w:rsid w:val="00662BCF"/>
    <w:rsid w:val="00663538"/>
    <w:rsid w:val="00663F74"/>
    <w:rsid w:val="00664DA8"/>
    <w:rsid w:val="006655AC"/>
    <w:rsid w:val="00665A2A"/>
    <w:rsid w:val="00665D25"/>
    <w:rsid w:val="006667EF"/>
    <w:rsid w:val="006668BD"/>
    <w:rsid w:val="0067009E"/>
    <w:rsid w:val="00670367"/>
    <w:rsid w:val="00670563"/>
    <w:rsid w:val="00670C3D"/>
    <w:rsid w:val="006711DD"/>
    <w:rsid w:val="00672A56"/>
    <w:rsid w:val="00672CEE"/>
    <w:rsid w:val="0067441E"/>
    <w:rsid w:val="006745E4"/>
    <w:rsid w:val="00675272"/>
    <w:rsid w:val="006755D7"/>
    <w:rsid w:val="00680134"/>
    <w:rsid w:val="0068078C"/>
    <w:rsid w:val="00681025"/>
    <w:rsid w:val="006817A6"/>
    <w:rsid w:val="00682280"/>
    <w:rsid w:val="006829E4"/>
    <w:rsid w:val="006849E5"/>
    <w:rsid w:val="006849EA"/>
    <w:rsid w:val="00684E8C"/>
    <w:rsid w:val="00685321"/>
    <w:rsid w:val="006854C4"/>
    <w:rsid w:val="00685561"/>
    <w:rsid w:val="006857E1"/>
    <w:rsid w:val="00685D83"/>
    <w:rsid w:val="00686181"/>
    <w:rsid w:val="0069392E"/>
    <w:rsid w:val="006945A7"/>
    <w:rsid w:val="00694CA2"/>
    <w:rsid w:val="00695C4F"/>
    <w:rsid w:val="00695D42"/>
    <w:rsid w:val="00696B0B"/>
    <w:rsid w:val="00696BCF"/>
    <w:rsid w:val="006970B9"/>
    <w:rsid w:val="006A0C3C"/>
    <w:rsid w:val="006A2F68"/>
    <w:rsid w:val="006A360A"/>
    <w:rsid w:val="006A4DB9"/>
    <w:rsid w:val="006A71CD"/>
    <w:rsid w:val="006A7D27"/>
    <w:rsid w:val="006A7F0A"/>
    <w:rsid w:val="006B1CD7"/>
    <w:rsid w:val="006B21DF"/>
    <w:rsid w:val="006B3C5B"/>
    <w:rsid w:val="006B47C4"/>
    <w:rsid w:val="006B4AB0"/>
    <w:rsid w:val="006B4D71"/>
    <w:rsid w:val="006B61D6"/>
    <w:rsid w:val="006B6AA8"/>
    <w:rsid w:val="006B6FC0"/>
    <w:rsid w:val="006C16D1"/>
    <w:rsid w:val="006C36B2"/>
    <w:rsid w:val="006C377F"/>
    <w:rsid w:val="006C3B92"/>
    <w:rsid w:val="006C4A76"/>
    <w:rsid w:val="006C577B"/>
    <w:rsid w:val="006C5E43"/>
    <w:rsid w:val="006C5EAD"/>
    <w:rsid w:val="006C7846"/>
    <w:rsid w:val="006C78EB"/>
    <w:rsid w:val="006D0675"/>
    <w:rsid w:val="006D1B07"/>
    <w:rsid w:val="006D3837"/>
    <w:rsid w:val="006D39E7"/>
    <w:rsid w:val="006D3F8C"/>
    <w:rsid w:val="006D53F1"/>
    <w:rsid w:val="006D6111"/>
    <w:rsid w:val="006D74B7"/>
    <w:rsid w:val="006D786A"/>
    <w:rsid w:val="006D7B28"/>
    <w:rsid w:val="006E11B3"/>
    <w:rsid w:val="006E1524"/>
    <w:rsid w:val="006E1B82"/>
    <w:rsid w:val="006E2778"/>
    <w:rsid w:val="006E373C"/>
    <w:rsid w:val="006E38C7"/>
    <w:rsid w:val="006E3CB8"/>
    <w:rsid w:val="006E515A"/>
    <w:rsid w:val="006E6F1C"/>
    <w:rsid w:val="006E745D"/>
    <w:rsid w:val="006F2A89"/>
    <w:rsid w:val="006F3C90"/>
    <w:rsid w:val="006F5125"/>
    <w:rsid w:val="006F5CCF"/>
    <w:rsid w:val="00703344"/>
    <w:rsid w:val="00703C02"/>
    <w:rsid w:val="0070426F"/>
    <w:rsid w:val="00705E62"/>
    <w:rsid w:val="007071CA"/>
    <w:rsid w:val="00707422"/>
    <w:rsid w:val="00707F6C"/>
    <w:rsid w:val="00710A5C"/>
    <w:rsid w:val="00710AD8"/>
    <w:rsid w:val="00712DDD"/>
    <w:rsid w:val="0071457D"/>
    <w:rsid w:val="007154DB"/>
    <w:rsid w:val="00715B89"/>
    <w:rsid w:val="00715F8C"/>
    <w:rsid w:val="00716948"/>
    <w:rsid w:val="00716BEA"/>
    <w:rsid w:val="007205E6"/>
    <w:rsid w:val="0072300E"/>
    <w:rsid w:val="007305DC"/>
    <w:rsid w:val="007309F3"/>
    <w:rsid w:val="00731D5A"/>
    <w:rsid w:val="00732A7D"/>
    <w:rsid w:val="00733E6B"/>
    <w:rsid w:val="00733FE2"/>
    <w:rsid w:val="00734BF6"/>
    <w:rsid w:val="00736E3F"/>
    <w:rsid w:val="00737F31"/>
    <w:rsid w:val="00744C17"/>
    <w:rsid w:val="007453D2"/>
    <w:rsid w:val="0074781E"/>
    <w:rsid w:val="007479E2"/>
    <w:rsid w:val="007505AD"/>
    <w:rsid w:val="00751F50"/>
    <w:rsid w:val="00752909"/>
    <w:rsid w:val="00753628"/>
    <w:rsid w:val="0075634D"/>
    <w:rsid w:val="007572DA"/>
    <w:rsid w:val="00757D50"/>
    <w:rsid w:val="00761406"/>
    <w:rsid w:val="00761A3D"/>
    <w:rsid w:val="007627D4"/>
    <w:rsid w:val="007662CE"/>
    <w:rsid w:val="007704F0"/>
    <w:rsid w:val="00770761"/>
    <w:rsid w:val="00771655"/>
    <w:rsid w:val="00772CE9"/>
    <w:rsid w:val="007740D9"/>
    <w:rsid w:val="00774F0C"/>
    <w:rsid w:val="00775DDC"/>
    <w:rsid w:val="0077680E"/>
    <w:rsid w:val="00776DE1"/>
    <w:rsid w:val="0077795A"/>
    <w:rsid w:val="00780043"/>
    <w:rsid w:val="007855ED"/>
    <w:rsid w:val="00791367"/>
    <w:rsid w:val="00791CF3"/>
    <w:rsid w:val="0079251E"/>
    <w:rsid w:val="0079482F"/>
    <w:rsid w:val="00794A8B"/>
    <w:rsid w:val="00795A7C"/>
    <w:rsid w:val="00795CF0"/>
    <w:rsid w:val="007976E5"/>
    <w:rsid w:val="00797B8D"/>
    <w:rsid w:val="007A0718"/>
    <w:rsid w:val="007A108F"/>
    <w:rsid w:val="007A1D81"/>
    <w:rsid w:val="007A2352"/>
    <w:rsid w:val="007A49AA"/>
    <w:rsid w:val="007A71F6"/>
    <w:rsid w:val="007B238F"/>
    <w:rsid w:val="007B27DF"/>
    <w:rsid w:val="007B5DBC"/>
    <w:rsid w:val="007B5E2C"/>
    <w:rsid w:val="007C13FB"/>
    <w:rsid w:val="007C1518"/>
    <w:rsid w:val="007C26F7"/>
    <w:rsid w:val="007C2A6D"/>
    <w:rsid w:val="007C2D8B"/>
    <w:rsid w:val="007C34AE"/>
    <w:rsid w:val="007C47EC"/>
    <w:rsid w:val="007C5670"/>
    <w:rsid w:val="007C5C16"/>
    <w:rsid w:val="007C64FA"/>
    <w:rsid w:val="007C7409"/>
    <w:rsid w:val="007D023D"/>
    <w:rsid w:val="007D040F"/>
    <w:rsid w:val="007D15A4"/>
    <w:rsid w:val="007D1E87"/>
    <w:rsid w:val="007D3B77"/>
    <w:rsid w:val="007D4163"/>
    <w:rsid w:val="007D44AA"/>
    <w:rsid w:val="007D4DA4"/>
    <w:rsid w:val="007D7F86"/>
    <w:rsid w:val="007E076D"/>
    <w:rsid w:val="007E0B0E"/>
    <w:rsid w:val="007E33FB"/>
    <w:rsid w:val="007E3F19"/>
    <w:rsid w:val="007E791E"/>
    <w:rsid w:val="007F08E6"/>
    <w:rsid w:val="007F1555"/>
    <w:rsid w:val="007F2231"/>
    <w:rsid w:val="007F3D01"/>
    <w:rsid w:val="007F45BA"/>
    <w:rsid w:val="007F6648"/>
    <w:rsid w:val="007F7866"/>
    <w:rsid w:val="00800B06"/>
    <w:rsid w:val="00801245"/>
    <w:rsid w:val="00803797"/>
    <w:rsid w:val="00805AE7"/>
    <w:rsid w:val="008077D5"/>
    <w:rsid w:val="008102F3"/>
    <w:rsid w:val="008132DD"/>
    <w:rsid w:val="00813BBC"/>
    <w:rsid w:val="008201AB"/>
    <w:rsid w:val="00820211"/>
    <w:rsid w:val="008204C5"/>
    <w:rsid w:val="0082051C"/>
    <w:rsid w:val="0082161D"/>
    <w:rsid w:val="00824969"/>
    <w:rsid w:val="00824F0D"/>
    <w:rsid w:val="00825586"/>
    <w:rsid w:val="00830596"/>
    <w:rsid w:val="00831A27"/>
    <w:rsid w:val="00831F8E"/>
    <w:rsid w:val="008339B2"/>
    <w:rsid w:val="00834A91"/>
    <w:rsid w:val="00834BAF"/>
    <w:rsid w:val="008364BA"/>
    <w:rsid w:val="008404CC"/>
    <w:rsid w:val="00840BC3"/>
    <w:rsid w:val="00844238"/>
    <w:rsid w:val="008469D0"/>
    <w:rsid w:val="0085075E"/>
    <w:rsid w:val="00850B48"/>
    <w:rsid w:val="00851C2D"/>
    <w:rsid w:val="00852755"/>
    <w:rsid w:val="00854A4C"/>
    <w:rsid w:val="008551AE"/>
    <w:rsid w:val="00862C2E"/>
    <w:rsid w:val="00862CA2"/>
    <w:rsid w:val="00864BD3"/>
    <w:rsid w:val="00865ACA"/>
    <w:rsid w:val="00865BAA"/>
    <w:rsid w:val="00865EF8"/>
    <w:rsid w:val="00867863"/>
    <w:rsid w:val="00870F37"/>
    <w:rsid w:val="00871315"/>
    <w:rsid w:val="00871FC2"/>
    <w:rsid w:val="0087217B"/>
    <w:rsid w:val="00873434"/>
    <w:rsid w:val="008745B1"/>
    <w:rsid w:val="00874BB2"/>
    <w:rsid w:val="008772C9"/>
    <w:rsid w:val="00880381"/>
    <w:rsid w:val="00881C29"/>
    <w:rsid w:val="00882103"/>
    <w:rsid w:val="0088221C"/>
    <w:rsid w:val="008835CF"/>
    <w:rsid w:val="00883E48"/>
    <w:rsid w:val="00884283"/>
    <w:rsid w:val="008856A7"/>
    <w:rsid w:val="00890794"/>
    <w:rsid w:val="00890BFF"/>
    <w:rsid w:val="00890C5F"/>
    <w:rsid w:val="0089103C"/>
    <w:rsid w:val="00891331"/>
    <w:rsid w:val="0089198F"/>
    <w:rsid w:val="00895EC0"/>
    <w:rsid w:val="00897507"/>
    <w:rsid w:val="008A1A1B"/>
    <w:rsid w:val="008A259B"/>
    <w:rsid w:val="008A279A"/>
    <w:rsid w:val="008A28F5"/>
    <w:rsid w:val="008A3B77"/>
    <w:rsid w:val="008A441D"/>
    <w:rsid w:val="008A45BB"/>
    <w:rsid w:val="008A5452"/>
    <w:rsid w:val="008A61CA"/>
    <w:rsid w:val="008A6EB2"/>
    <w:rsid w:val="008A7655"/>
    <w:rsid w:val="008B09E7"/>
    <w:rsid w:val="008B0DC1"/>
    <w:rsid w:val="008B16E4"/>
    <w:rsid w:val="008B1FD7"/>
    <w:rsid w:val="008B351B"/>
    <w:rsid w:val="008B4D1B"/>
    <w:rsid w:val="008B6150"/>
    <w:rsid w:val="008B6295"/>
    <w:rsid w:val="008B6692"/>
    <w:rsid w:val="008B7092"/>
    <w:rsid w:val="008C1943"/>
    <w:rsid w:val="008C1BA4"/>
    <w:rsid w:val="008C2A6C"/>
    <w:rsid w:val="008C2E60"/>
    <w:rsid w:val="008C5E34"/>
    <w:rsid w:val="008C6EBA"/>
    <w:rsid w:val="008C6F7E"/>
    <w:rsid w:val="008C76A5"/>
    <w:rsid w:val="008D1D28"/>
    <w:rsid w:val="008D3518"/>
    <w:rsid w:val="008D387C"/>
    <w:rsid w:val="008D3976"/>
    <w:rsid w:val="008D3C11"/>
    <w:rsid w:val="008D3CD5"/>
    <w:rsid w:val="008D3EDA"/>
    <w:rsid w:val="008D6383"/>
    <w:rsid w:val="008D7075"/>
    <w:rsid w:val="008D7573"/>
    <w:rsid w:val="008E08F3"/>
    <w:rsid w:val="008E20EC"/>
    <w:rsid w:val="008E2900"/>
    <w:rsid w:val="008E31D9"/>
    <w:rsid w:val="008E481C"/>
    <w:rsid w:val="008E6BEB"/>
    <w:rsid w:val="008E727D"/>
    <w:rsid w:val="008F09F0"/>
    <w:rsid w:val="008F2289"/>
    <w:rsid w:val="008F3598"/>
    <w:rsid w:val="008F5404"/>
    <w:rsid w:val="008F7B69"/>
    <w:rsid w:val="00900C9B"/>
    <w:rsid w:val="00901F1A"/>
    <w:rsid w:val="009029DB"/>
    <w:rsid w:val="0090366D"/>
    <w:rsid w:val="009043C2"/>
    <w:rsid w:val="00905368"/>
    <w:rsid w:val="009066CB"/>
    <w:rsid w:val="00907AB3"/>
    <w:rsid w:val="00907B75"/>
    <w:rsid w:val="009107C1"/>
    <w:rsid w:val="00911780"/>
    <w:rsid w:val="0091201C"/>
    <w:rsid w:val="0091242A"/>
    <w:rsid w:val="00915041"/>
    <w:rsid w:val="0091533C"/>
    <w:rsid w:val="009215FD"/>
    <w:rsid w:val="0092229C"/>
    <w:rsid w:val="00923FD3"/>
    <w:rsid w:val="00930B42"/>
    <w:rsid w:val="00933B9C"/>
    <w:rsid w:val="00936472"/>
    <w:rsid w:val="0093653B"/>
    <w:rsid w:val="009377A6"/>
    <w:rsid w:val="00941C51"/>
    <w:rsid w:val="009462DE"/>
    <w:rsid w:val="0094705E"/>
    <w:rsid w:val="00950E4F"/>
    <w:rsid w:val="00951C1B"/>
    <w:rsid w:val="00951E0A"/>
    <w:rsid w:val="00954397"/>
    <w:rsid w:val="009565D3"/>
    <w:rsid w:val="00956CB2"/>
    <w:rsid w:val="00957230"/>
    <w:rsid w:val="00957450"/>
    <w:rsid w:val="00957800"/>
    <w:rsid w:val="00957DD6"/>
    <w:rsid w:val="0096149F"/>
    <w:rsid w:val="00962960"/>
    <w:rsid w:val="00962C69"/>
    <w:rsid w:val="009634B4"/>
    <w:rsid w:val="00966436"/>
    <w:rsid w:val="00966F48"/>
    <w:rsid w:val="00967632"/>
    <w:rsid w:val="0097009D"/>
    <w:rsid w:val="00971A4E"/>
    <w:rsid w:val="00972A44"/>
    <w:rsid w:val="00972FDF"/>
    <w:rsid w:val="00973033"/>
    <w:rsid w:val="009744A5"/>
    <w:rsid w:val="0097797C"/>
    <w:rsid w:val="00981124"/>
    <w:rsid w:val="00981BC4"/>
    <w:rsid w:val="00981F7E"/>
    <w:rsid w:val="009836B0"/>
    <w:rsid w:val="00984486"/>
    <w:rsid w:val="00984702"/>
    <w:rsid w:val="00987152"/>
    <w:rsid w:val="0098799C"/>
    <w:rsid w:val="00991297"/>
    <w:rsid w:val="00991633"/>
    <w:rsid w:val="009918C1"/>
    <w:rsid w:val="00991A37"/>
    <w:rsid w:val="00992B36"/>
    <w:rsid w:val="00993BBD"/>
    <w:rsid w:val="009953A5"/>
    <w:rsid w:val="009A0267"/>
    <w:rsid w:val="009A0312"/>
    <w:rsid w:val="009A072F"/>
    <w:rsid w:val="009A128B"/>
    <w:rsid w:val="009A1553"/>
    <w:rsid w:val="009A1626"/>
    <w:rsid w:val="009A4B35"/>
    <w:rsid w:val="009A6887"/>
    <w:rsid w:val="009A6DA7"/>
    <w:rsid w:val="009B013C"/>
    <w:rsid w:val="009B0289"/>
    <w:rsid w:val="009B02A7"/>
    <w:rsid w:val="009B0611"/>
    <w:rsid w:val="009B0999"/>
    <w:rsid w:val="009B2EE2"/>
    <w:rsid w:val="009B32B1"/>
    <w:rsid w:val="009B33C9"/>
    <w:rsid w:val="009B5E0E"/>
    <w:rsid w:val="009B6E44"/>
    <w:rsid w:val="009B7188"/>
    <w:rsid w:val="009B71C4"/>
    <w:rsid w:val="009C15B9"/>
    <w:rsid w:val="009C1EEA"/>
    <w:rsid w:val="009C2E5B"/>
    <w:rsid w:val="009C4E47"/>
    <w:rsid w:val="009C51E5"/>
    <w:rsid w:val="009C6250"/>
    <w:rsid w:val="009D0702"/>
    <w:rsid w:val="009D1774"/>
    <w:rsid w:val="009D2B97"/>
    <w:rsid w:val="009D2FAE"/>
    <w:rsid w:val="009D387F"/>
    <w:rsid w:val="009D4E9B"/>
    <w:rsid w:val="009D62D7"/>
    <w:rsid w:val="009D6684"/>
    <w:rsid w:val="009D6C32"/>
    <w:rsid w:val="009E1F62"/>
    <w:rsid w:val="009E2B5F"/>
    <w:rsid w:val="009E2CE6"/>
    <w:rsid w:val="009E3E41"/>
    <w:rsid w:val="009E6893"/>
    <w:rsid w:val="009F085E"/>
    <w:rsid w:val="009F5778"/>
    <w:rsid w:val="009F63E8"/>
    <w:rsid w:val="00A0183B"/>
    <w:rsid w:val="00A025C9"/>
    <w:rsid w:val="00A03D5E"/>
    <w:rsid w:val="00A03E90"/>
    <w:rsid w:val="00A04446"/>
    <w:rsid w:val="00A045AF"/>
    <w:rsid w:val="00A04B29"/>
    <w:rsid w:val="00A04FCB"/>
    <w:rsid w:val="00A06614"/>
    <w:rsid w:val="00A06FB6"/>
    <w:rsid w:val="00A07487"/>
    <w:rsid w:val="00A1038C"/>
    <w:rsid w:val="00A110AF"/>
    <w:rsid w:val="00A11309"/>
    <w:rsid w:val="00A11B60"/>
    <w:rsid w:val="00A121D3"/>
    <w:rsid w:val="00A12A97"/>
    <w:rsid w:val="00A12CC9"/>
    <w:rsid w:val="00A16F9F"/>
    <w:rsid w:val="00A1709D"/>
    <w:rsid w:val="00A17864"/>
    <w:rsid w:val="00A20700"/>
    <w:rsid w:val="00A2090C"/>
    <w:rsid w:val="00A22299"/>
    <w:rsid w:val="00A226D3"/>
    <w:rsid w:val="00A23DBB"/>
    <w:rsid w:val="00A30435"/>
    <w:rsid w:val="00A3082F"/>
    <w:rsid w:val="00A310C3"/>
    <w:rsid w:val="00A328C4"/>
    <w:rsid w:val="00A33442"/>
    <w:rsid w:val="00A352B5"/>
    <w:rsid w:val="00A352CA"/>
    <w:rsid w:val="00A373A6"/>
    <w:rsid w:val="00A37602"/>
    <w:rsid w:val="00A378F6"/>
    <w:rsid w:val="00A402D8"/>
    <w:rsid w:val="00A406CC"/>
    <w:rsid w:val="00A42A17"/>
    <w:rsid w:val="00A442B6"/>
    <w:rsid w:val="00A45103"/>
    <w:rsid w:val="00A46373"/>
    <w:rsid w:val="00A466DB"/>
    <w:rsid w:val="00A47198"/>
    <w:rsid w:val="00A50400"/>
    <w:rsid w:val="00A511D0"/>
    <w:rsid w:val="00A52357"/>
    <w:rsid w:val="00A52FB4"/>
    <w:rsid w:val="00A53523"/>
    <w:rsid w:val="00A53579"/>
    <w:rsid w:val="00A53D86"/>
    <w:rsid w:val="00A53F37"/>
    <w:rsid w:val="00A54806"/>
    <w:rsid w:val="00A55603"/>
    <w:rsid w:val="00A55A4C"/>
    <w:rsid w:val="00A605D9"/>
    <w:rsid w:val="00A63E87"/>
    <w:rsid w:val="00A675B6"/>
    <w:rsid w:val="00A67FE9"/>
    <w:rsid w:val="00A70121"/>
    <w:rsid w:val="00A70E42"/>
    <w:rsid w:val="00A712F1"/>
    <w:rsid w:val="00A730CF"/>
    <w:rsid w:val="00A746CB"/>
    <w:rsid w:val="00A75DD3"/>
    <w:rsid w:val="00A75E6A"/>
    <w:rsid w:val="00A805F5"/>
    <w:rsid w:val="00A813A9"/>
    <w:rsid w:val="00A8322D"/>
    <w:rsid w:val="00A8384F"/>
    <w:rsid w:val="00A843F0"/>
    <w:rsid w:val="00A84667"/>
    <w:rsid w:val="00A84AEA"/>
    <w:rsid w:val="00A8553A"/>
    <w:rsid w:val="00A8629D"/>
    <w:rsid w:val="00A8686E"/>
    <w:rsid w:val="00A87C05"/>
    <w:rsid w:val="00A87F85"/>
    <w:rsid w:val="00A903C0"/>
    <w:rsid w:val="00A9127F"/>
    <w:rsid w:val="00A925A7"/>
    <w:rsid w:val="00A92640"/>
    <w:rsid w:val="00A93725"/>
    <w:rsid w:val="00A93FA4"/>
    <w:rsid w:val="00A9448F"/>
    <w:rsid w:val="00A95C78"/>
    <w:rsid w:val="00A95FBA"/>
    <w:rsid w:val="00A9602C"/>
    <w:rsid w:val="00A9623B"/>
    <w:rsid w:val="00A974B9"/>
    <w:rsid w:val="00AA1A1E"/>
    <w:rsid w:val="00AA2871"/>
    <w:rsid w:val="00AA2F40"/>
    <w:rsid w:val="00AA3493"/>
    <w:rsid w:val="00AA6CEA"/>
    <w:rsid w:val="00AA7549"/>
    <w:rsid w:val="00AA7D92"/>
    <w:rsid w:val="00AB238A"/>
    <w:rsid w:val="00AB2854"/>
    <w:rsid w:val="00AB68E2"/>
    <w:rsid w:val="00AB707D"/>
    <w:rsid w:val="00AC1A0F"/>
    <w:rsid w:val="00AC1A5D"/>
    <w:rsid w:val="00AC20B6"/>
    <w:rsid w:val="00AC20FD"/>
    <w:rsid w:val="00AC2C15"/>
    <w:rsid w:val="00AC2FF7"/>
    <w:rsid w:val="00AC461F"/>
    <w:rsid w:val="00AC5D45"/>
    <w:rsid w:val="00AC5FA4"/>
    <w:rsid w:val="00AC61EE"/>
    <w:rsid w:val="00AC641C"/>
    <w:rsid w:val="00AC6703"/>
    <w:rsid w:val="00AC6F12"/>
    <w:rsid w:val="00AC7C24"/>
    <w:rsid w:val="00AC7FCC"/>
    <w:rsid w:val="00AD020C"/>
    <w:rsid w:val="00AD0C94"/>
    <w:rsid w:val="00AD0E5D"/>
    <w:rsid w:val="00AD17F4"/>
    <w:rsid w:val="00AD25B2"/>
    <w:rsid w:val="00AD489C"/>
    <w:rsid w:val="00AE01D7"/>
    <w:rsid w:val="00AE04E6"/>
    <w:rsid w:val="00AE0A90"/>
    <w:rsid w:val="00AE23E6"/>
    <w:rsid w:val="00AE59A3"/>
    <w:rsid w:val="00AE6BA8"/>
    <w:rsid w:val="00AE707D"/>
    <w:rsid w:val="00AE74E3"/>
    <w:rsid w:val="00AE7944"/>
    <w:rsid w:val="00AF2142"/>
    <w:rsid w:val="00AF285F"/>
    <w:rsid w:val="00AF2CCA"/>
    <w:rsid w:val="00AF48C9"/>
    <w:rsid w:val="00AF7034"/>
    <w:rsid w:val="00AF7EFD"/>
    <w:rsid w:val="00B00157"/>
    <w:rsid w:val="00B00DE5"/>
    <w:rsid w:val="00B0196F"/>
    <w:rsid w:val="00B026B3"/>
    <w:rsid w:val="00B03800"/>
    <w:rsid w:val="00B03A57"/>
    <w:rsid w:val="00B0461D"/>
    <w:rsid w:val="00B0488B"/>
    <w:rsid w:val="00B07454"/>
    <w:rsid w:val="00B07582"/>
    <w:rsid w:val="00B078A7"/>
    <w:rsid w:val="00B07A6B"/>
    <w:rsid w:val="00B10062"/>
    <w:rsid w:val="00B10A57"/>
    <w:rsid w:val="00B11547"/>
    <w:rsid w:val="00B12F81"/>
    <w:rsid w:val="00B134C3"/>
    <w:rsid w:val="00B13557"/>
    <w:rsid w:val="00B14826"/>
    <w:rsid w:val="00B168D1"/>
    <w:rsid w:val="00B17370"/>
    <w:rsid w:val="00B2011C"/>
    <w:rsid w:val="00B2036A"/>
    <w:rsid w:val="00B20DBF"/>
    <w:rsid w:val="00B219C5"/>
    <w:rsid w:val="00B220EB"/>
    <w:rsid w:val="00B22347"/>
    <w:rsid w:val="00B2314B"/>
    <w:rsid w:val="00B23A5B"/>
    <w:rsid w:val="00B2599D"/>
    <w:rsid w:val="00B26508"/>
    <w:rsid w:val="00B269E5"/>
    <w:rsid w:val="00B27FA2"/>
    <w:rsid w:val="00B30984"/>
    <w:rsid w:val="00B30F54"/>
    <w:rsid w:val="00B32B9B"/>
    <w:rsid w:val="00B33F97"/>
    <w:rsid w:val="00B3400E"/>
    <w:rsid w:val="00B35738"/>
    <w:rsid w:val="00B36215"/>
    <w:rsid w:val="00B400C4"/>
    <w:rsid w:val="00B42584"/>
    <w:rsid w:val="00B42A23"/>
    <w:rsid w:val="00B42D3B"/>
    <w:rsid w:val="00B431C6"/>
    <w:rsid w:val="00B43A62"/>
    <w:rsid w:val="00B43B75"/>
    <w:rsid w:val="00B44BF2"/>
    <w:rsid w:val="00B44CB5"/>
    <w:rsid w:val="00B45193"/>
    <w:rsid w:val="00B45333"/>
    <w:rsid w:val="00B45A64"/>
    <w:rsid w:val="00B469D7"/>
    <w:rsid w:val="00B4774E"/>
    <w:rsid w:val="00B5350C"/>
    <w:rsid w:val="00B541AB"/>
    <w:rsid w:val="00B55B2B"/>
    <w:rsid w:val="00B55DB7"/>
    <w:rsid w:val="00B57D42"/>
    <w:rsid w:val="00B66BCE"/>
    <w:rsid w:val="00B7101B"/>
    <w:rsid w:val="00B73789"/>
    <w:rsid w:val="00B737D0"/>
    <w:rsid w:val="00B74428"/>
    <w:rsid w:val="00B768E5"/>
    <w:rsid w:val="00B76D2D"/>
    <w:rsid w:val="00B81D07"/>
    <w:rsid w:val="00B825A3"/>
    <w:rsid w:val="00B8274A"/>
    <w:rsid w:val="00B82DD1"/>
    <w:rsid w:val="00B834B3"/>
    <w:rsid w:val="00B839B9"/>
    <w:rsid w:val="00B856F6"/>
    <w:rsid w:val="00B8740B"/>
    <w:rsid w:val="00B90163"/>
    <w:rsid w:val="00B90335"/>
    <w:rsid w:val="00B91518"/>
    <w:rsid w:val="00B91AE6"/>
    <w:rsid w:val="00B91D3C"/>
    <w:rsid w:val="00B91F76"/>
    <w:rsid w:val="00B936DC"/>
    <w:rsid w:val="00B93883"/>
    <w:rsid w:val="00B942DB"/>
    <w:rsid w:val="00B94E3A"/>
    <w:rsid w:val="00B95C68"/>
    <w:rsid w:val="00B96657"/>
    <w:rsid w:val="00B96A81"/>
    <w:rsid w:val="00BA15C4"/>
    <w:rsid w:val="00BA215C"/>
    <w:rsid w:val="00BA2907"/>
    <w:rsid w:val="00BA2C8B"/>
    <w:rsid w:val="00BA320B"/>
    <w:rsid w:val="00BA3697"/>
    <w:rsid w:val="00BA3B9D"/>
    <w:rsid w:val="00BA3C31"/>
    <w:rsid w:val="00BA4C9A"/>
    <w:rsid w:val="00BA6361"/>
    <w:rsid w:val="00BA741E"/>
    <w:rsid w:val="00BA7BAA"/>
    <w:rsid w:val="00BB18C3"/>
    <w:rsid w:val="00BB1D68"/>
    <w:rsid w:val="00BB575B"/>
    <w:rsid w:val="00BC116B"/>
    <w:rsid w:val="00BC3C43"/>
    <w:rsid w:val="00BC6145"/>
    <w:rsid w:val="00BC6503"/>
    <w:rsid w:val="00BC766C"/>
    <w:rsid w:val="00BD129A"/>
    <w:rsid w:val="00BD1870"/>
    <w:rsid w:val="00BD321C"/>
    <w:rsid w:val="00BD5CE8"/>
    <w:rsid w:val="00BD625B"/>
    <w:rsid w:val="00BD65DF"/>
    <w:rsid w:val="00BD6FE4"/>
    <w:rsid w:val="00BD7CBB"/>
    <w:rsid w:val="00BE0A41"/>
    <w:rsid w:val="00BE1DFD"/>
    <w:rsid w:val="00BE265B"/>
    <w:rsid w:val="00BE2F0C"/>
    <w:rsid w:val="00BE39DA"/>
    <w:rsid w:val="00BE479E"/>
    <w:rsid w:val="00BE48E2"/>
    <w:rsid w:val="00BE59D2"/>
    <w:rsid w:val="00BE63F6"/>
    <w:rsid w:val="00BE7362"/>
    <w:rsid w:val="00BE737E"/>
    <w:rsid w:val="00BF09B4"/>
    <w:rsid w:val="00BF1EBB"/>
    <w:rsid w:val="00BF32E2"/>
    <w:rsid w:val="00BF336F"/>
    <w:rsid w:val="00BF46B4"/>
    <w:rsid w:val="00BF57F3"/>
    <w:rsid w:val="00BF726F"/>
    <w:rsid w:val="00C00805"/>
    <w:rsid w:val="00C01D47"/>
    <w:rsid w:val="00C02FDB"/>
    <w:rsid w:val="00C05A93"/>
    <w:rsid w:val="00C05AD0"/>
    <w:rsid w:val="00C05D84"/>
    <w:rsid w:val="00C05F9E"/>
    <w:rsid w:val="00C06DF4"/>
    <w:rsid w:val="00C07A34"/>
    <w:rsid w:val="00C104C9"/>
    <w:rsid w:val="00C12B47"/>
    <w:rsid w:val="00C12B9D"/>
    <w:rsid w:val="00C13AA9"/>
    <w:rsid w:val="00C143FF"/>
    <w:rsid w:val="00C14E7F"/>
    <w:rsid w:val="00C164F4"/>
    <w:rsid w:val="00C16668"/>
    <w:rsid w:val="00C17CAF"/>
    <w:rsid w:val="00C205AF"/>
    <w:rsid w:val="00C21DC5"/>
    <w:rsid w:val="00C2244E"/>
    <w:rsid w:val="00C25EC8"/>
    <w:rsid w:val="00C3013B"/>
    <w:rsid w:val="00C30E5B"/>
    <w:rsid w:val="00C33306"/>
    <w:rsid w:val="00C346F6"/>
    <w:rsid w:val="00C355DD"/>
    <w:rsid w:val="00C35690"/>
    <w:rsid w:val="00C44D12"/>
    <w:rsid w:val="00C45C31"/>
    <w:rsid w:val="00C46322"/>
    <w:rsid w:val="00C46B9C"/>
    <w:rsid w:val="00C47718"/>
    <w:rsid w:val="00C506A7"/>
    <w:rsid w:val="00C50EBB"/>
    <w:rsid w:val="00C5295C"/>
    <w:rsid w:val="00C529C8"/>
    <w:rsid w:val="00C5345F"/>
    <w:rsid w:val="00C5552F"/>
    <w:rsid w:val="00C5737D"/>
    <w:rsid w:val="00C60192"/>
    <w:rsid w:val="00C60AF9"/>
    <w:rsid w:val="00C60BDB"/>
    <w:rsid w:val="00C61086"/>
    <w:rsid w:val="00C61143"/>
    <w:rsid w:val="00C67D09"/>
    <w:rsid w:val="00C71BB5"/>
    <w:rsid w:val="00C72227"/>
    <w:rsid w:val="00C726B7"/>
    <w:rsid w:val="00C73223"/>
    <w:rsid w:val="00C73E48"/>
    <w:rsid w:val="00C75008"/>
    <w:rsid w:val="00C76EB8"/>
    <w:rsid w:val="00C774F3"/>
    <w:rsid w:val="00C80037"/>
    <w:rsid w:val="00C8037A"/>
    <w:rsid w:val="00C80CD6"/>
    <w:rsid w:val="00C81C97"/>
    <w:rsid w:val="00C822F9"/>
    <w:rsid w:val="00C82E54"/>
    <w:rsid w:val="00C8438A"/>
    <w:rsid w:val="00C8450E"/>
    <w:rsid w:val="00C84CBF"/>
    <w:rsid w:val="00C850F9"/>
    <w:rsid w:val="00C86189"/>
    <w:rsid w:val="00C93409"/>
    <w:rsid w:val="00C93D78"/>
    <w:rsid w:val="00C93EC6"/>
    <w:rsid w:val="00C947BB"/>
    <w:rsid w:val="00C97454"/>
    <w:rsid w:val="00C979AD"/>
    <w:rsid w:val="00CA1E70"/>
    <w:rsid w:val="00CA1F41"/>
    <w:rsid w:val="00CA5016"/>
    <w:rsid w:val="00CA5A12"/>
    <w:rsid w:val="00CA5A1F"/>
    <w:rsid w:val="00CA7D96"/>
    <w:rsid w:val="00CB18E3"/>
    <w:rsid w:val="00CB2341"/>
    <w:rsid w:val="00CB4A8D"/>
    <w:rsid w:val="00CB59EC"/>
    <w:rsid w:val="00CB6034"/>
    <w:rsid w:val="00CC05FD"/>
    <w:rsid w:val="00CC1C0F"/>
    <w:rsid w:val="00CC38D6"/>
    <w:rsid w:val="00CC3EEA"/>
    <w:rsid w:val="00CC449D"/>
    <w:rsid w:val="00CC45C3"/>
    <w:rsid w:val="00CC51AF"/>
    <w:rsid w:val="00CC6E9D"/>
    <w:rsid w:val="00CC740E"/>
    <w:rsid w:val="00CC7E35"/>
    <w:rsid w:val="00CD004E"/>
    <w:rsid w:val="00CD04F9"/>
    <w:rsid w:val="00CD22DC"/>
    <w:rsid w:val="00CD301B"/>
    <w:rsid w:val="00CD3B12"/>
    <w:rsid w:val="00CD4942"/>
    <w:rsid w:val="00CD4BBB"/>
    <w:rsid w:val="00CD5215"/>
    <w:rsid w:val="00CD72A1"/>
    <w:rsid w:val="00CE09B0"/>
    <w:rsid w:val="00CE286E"/>
    <w:rsid w:val="00CE419E"/>
    <w:rsid w:val="00CE4285"/>
    <w:rsid w:val="00CE42F9"/>
    <w:rsid w:val="00CE4DC1"/>
    <w:rsid w:val="00CE702D"/>
    <w:rsid w:val="00CE7568"/>
    <w:rsid w:val="00CF08C5"/>
    <w:rsid w:val="00CF0E5C"/>
    <w:rsid w:val="00CF19E2"/>
    <w:rsid w:val="00CF312A"/>
    <w:rsid w:val="00CF46EF"/>
    <w:rsid w:val="00CF59B5"/>
    <w:rsid w:val="00CF5AF3"/>
    <w:rsid w:val="00CF7C0C"/>
    <w:rsid w:val="00CF7D8C"/>
    <w:rsid w:val="00CF7FE2"/>
    <w:rsid w:val="00D00D83"/>
    <w:rsid w:val="00D013E2"/>
    <w:rsid w:val="00D01B42"/>
    <w:rsid w:val="00D01D53"/>
    <w:rsid w:val="00D02805"/>
    <w:rsid w:val="00D05075"/>
    <w:rsid w:val="00D108B3"/>
    <w:rsid w:val="00D10DC9"/>
    <w:rsid w:val="00D11764"/>
    <w:rsid w:val="00D127A7"/>
    <w:rsid w:val="00D1508F"/>
    <w:rsid w:val="00D151C1"/>
    <w:rsid w:val="00D15FBA"/>
    <w:rsid w:val="00D1732B"/>
    <w:rsid w:val="00D200AF"/>
    <w:rsid w:val="00D20B7A"/>
    <w:rsid w:val="00D21486"/>
    <w:rsid w:val="00D22E77"/>
    <w:rsid w:val="00D23C60"/>
    <w:rsid w:val="00D23CEF"/>
    <w:rsid w:val="00D245CC"/>
    <w:rsid w:val="00D33E81"/>
    <w:rsid w:val="00D358C3"/>
    <w:rsid w:val="00D35957"/>
    <w:rsid w:val="00D365EA"/>
    <w:rsid w:val="00D3680F"/>
    <w:rsid w:val="00D369FA"/>
    <w:rsid w:val="00D36A9B"/>
    <w:rsid w:val="00D40005"/>
    <w:rsid w:val="00D40E27"/>
    <w:rsid w:val="00D41795"/>
    <w:rsid w:val="00D418CC"/>
    <w:rsid w:val="00D45DB9"/>
    <w:rsid w:val="00D50214"/>
    <w:rsid w:val="00D5022D"/>
    <w:rsid w:val="00D50473"/>
    <w:rsid w:val="00D50A0C"/>
    <w:rsid w:val="00D520C9"/>
    <w:rsid w:val="00D52860"/>
    <w:rsid w:val="00D52CB8"/>
    <w:rsid w:val="00D5334E"/>
    <w:rsid w:val="00D53809"/>
    <w:rsid w:val="00D5422D"/>
    <w:rsid w:val="00D54342"/>
    <w:rsid w:val="00D547FC"/>
    <w:rsid w:val="00D552B5"/>
    <w:rsid w:val="00D55F19"/>
    <w:rsid w:val="00D57C47"/>
    <w:rsid w:val="00D602EF"/>
    <w:rsid w:val="00D613B8"/>
    <w:rsid w:val="00D6697B"/>
    <w:rsid w:val="00D66EDC"/>
    <w:rsid w:val="00D716A3"/>
    <w:rsid w:val="00D71B18"/>
    <w:rsid w:val="00D72AB8"/>
    <w:rsid w:val="00D748A6"/>
    <w:rsid w:val="00D748EB"/>
    <w:rsid w:val="00D76827"/>
    <w:rsid w:val="00D76CBC"/>
    <w:rsid w:val="00D77C7F"/>
    <w:rsid w:val="00D802CA"/>
    <w:rsid w:val="00D80783"/>
    <w:rsid w:val="00D807BB"/>
    <w:rsid w:val="00D813E2"/>
    <w:rsid w:val="00D8229C"/>
    <w:rsid w:val="00D8231C"/>
    <w:rsid w:val="00D823EE"/>
    <w:rsid w:val="00D82401"/>
    <w:rsid w:val="00D8241E"/>
    <w:rsid w:val="00D84F6E"/>
    <w:rsid w:val="00D85FD8"/>
    <w:rsid w:val="00D86E78"/>
    <w:rsid w:val="00D922A0"/>
    <w:rsid w:val="00D92656"/>
    <w:rsid w:val="00D93B06"/>
    <w:rsid w:val="00D942CB"/>
    <w:rsid w:val="00D945FF"/>
    <w:rsid w:val="00D9480E"/>
    <w:rsid w:val="00D969BD"/>
    <w:rsid w:val="00D97071"/>
    <w:rsid w:val="00DA0B89"/>
    <w:rsid w:val="00DA1751"/>
    <w:rsid w:val="00DA1C1D"/>
    <w:rsid w:val="00DA1FAC"/>
    <w:rsid w:val="00DA4997"/>
    <w:rsid w:val="00DA4AAD"/>
    <w:rsid w:val="00DA6D77"/>
    <w:rsid w:val="00DA7F3B"/>
    <w:rsid w:val="00DB02BD"/>
    <w:rsid w:val="00DB0608"/>
    <w:rsid w:val="00DB2384"/>
    <w:rsid w:val="00DB23DE"/>
    <w:rsid w:val="00DB24A5"/>
    <w:rsid w:val="00DB3D08"/>
    <w:rsid w:val="00DB6C58"/>
    <w:rsid w:val="00DB6D78"/>
    <w:rsid w:val="00DB70D0"/>
    <w:rsid w:val="00DB77D3"/>
    <w:rsid w:val="00DB79B5"/>
    <w:rsid w:val="00DB7B60"/>
    <w:rsid w:val="00DC038F"/>
    <w:rsid w:val="00DC0F57"/>
    <w:rsid w:val="00DC2764"/>
    <w:rsid w:val="00DC3368"/>
    <w:rsid w:val="00DC4331"/>
    <w:rsid w:val="00DC4916"/>
    <w:rsid w:val="00DC6E1B"/>
    <w:rsid w:val="00DC6FA9"/>
    <w:rsid w:val="00DD20B4"/>
    <w:rsid w:val="00DD5456"/>
    <w:rsid w:val="00DD5B3D"/>
    <w:rsid w:val="00DD6229"/>
    <w:rsid w:val="00DE140C"/>
    <w:rsid w:val="00DE2EE7"/>
    <w:rsid w:val="00DE4BAC"/>
    <w:rsid w:val="00DE4C63"/>
    <w:rsid w:val="00DE5747"/>
    <w:rsid w:val="00DE6A63"/>
    <w:rsid w:val="00DE78DD"/>
    <w:rsid w:val="00DE7C04"/>
    <w:rsid w:val="00DF0EF4"/>
    <w:rsid w:val="00DF21DE"/>
    <w:rsid w:val="00DF442D"/>
    <w:rsid w:val="00DF4997"/>
    <w:rsid w:val="00DF4A47"/>
    <w:rsid w:val="00DF5F88"/>
    <w:rsid w:val="00DF6744"/>
    <w:rsid w:val="00E00E09"/>
    <w:rsid w:val="00E023D7"/>
    <w:rsid w:val="00E03B1E"/>
    <w:rsid w:val="00E03B9C"/>
    <w:rsid w:val="00E05085"/>
    <w:rsid w:val="00E052E9"/>
    <w:rsid w:val="00E066BE"/>
    <w:rsid w:val="00E079EA"/>
    <w:rsid w:val="00E110A7"/>
    <w:rsid w:val="00E11BE3"/>
    <w:rsid w:val="00E13324"/>
    <w:rsid w:val="00E14252"/>
    <w:rsid w:val="00E14840"/>
    <w:rsid w:val="00E1785F"/>
    <w:rsid w:val="00E17BC1"/>
    <w:rsid w:val="00E2299D"/>
    <w:rsid w:val="00E24036"/>
    <w:rsid w:val="00E24148"/>
    <w:rsid w:val="00E25F67"/>
    <w:rsid w:val="00E30662"/>
    <w:rsid w:val="00E3160C"/>
    <w:rsid w:val="00E31B33"/>
    <w:rsid w:val="00E33F27"/>
    <w:rsid w:val="00E3451F"/>
    <w:rsid w:val="00E35563"/>
    <w:rsid w:val="00E36D25"/>
    <w:rsid w:val="00E3704A"/>
    <w:rsid w:val="00E37747"/>
    <w:rsid w:val="00E411AE"/>
    <w:rsid w:val="00E415D1"/>
    <w:rsid w:val="00E42289"/>
    <w:rsid w:val="00E42A2F"/>
    <w:rsid w:val="00E43B3E"/>
    <w:rsid w:val="00E44798"/>
    <w:rsid w:val="00E46195"/>
    <w:rsid w:val="00E47178"/>
    <w:rsid w:val="00E477B0"/>
    <w:rsid w:val="00E47A31"/>
    <w:rsid w:val="00E50700"/>
    <w:rsid w:val="00E50B79"/>
    <w:rsid w:val="00E51DA5"/>
    <w:rsid w:val="00E52E3A"/>
    <w:rsid w:val="00E53644"/>
    <w:rsid w:val="00E5425B"/>
    <w:rsid w:val="00E55133"/>
    <w:rsid w:val="00E5526B"/>
    <w:rsid w:val="00E55C1B"/>
    <w:rsid w:val="00E56767"/>
    <w:rsid w:val="00E578DC"/>
    <w:rsid w:val="00E62574"/>
    <w:rsid w:val="00E66B26"/>
    <w:rsid w:val="00E670E0"/>
    <w:rsid w:val="00E67524"/>
    <w:rsid w:val="00E70A44"/>
    <w:rsid w:val="00E71E22"/>
    <w:rsid w:val="00E72FA7"/>
    <w:rsid w:val="00E77106"/>
    <w:rsid w:val="00E77224"/>
    <w:rsid w:val="00E8095C"/>
    <w:rsid w:val="00E80A39"/>
    <w:rsid w:val="00E835B8"/>
    <w:rsid w:val="00E844CC"/>
    <w:rsid w:val="00E84F05"/>
    <w:rsid w:val="00E85642"/>
    <w:rsid w:val="00E875A8"/>
    <w:rsid w:val="00E87E90"/>
    <w:rsid w:val="00E94FC2"/>
    <w:rsid w:val="00E9556E"/>
    <w:rsid w:val="00EA0688"/>
    <w:rsid w:val="00EA1417"/>
    <w:rsid w:val="00EA221E"/>
    <w:rsid w:val="00EA443C"/>
    <w:rsid w:val="00EA56FA"/>
    <w:rsid w:val="00EA645D"/>
    <w:rsid w:val="00EA71CA"/>
    <w:rsid w:val="00EA7585"/>
    <w:rsid w:val="00EA7C78"/>
    <w:rsid w:val="00EB0E5E"/>
    <w:rsid w:val="00EB13EC"/>
    <w:rsid w:val="00EB1450"/>
    <w:rsid w:val="00EB232E"/>
    <w:rsid w:val="00EB24A7"/>
    <w:rsid w:val="00EB25FC"/>
    <w:rsid w:val="00EB2B97"/>
    <w:rsid w:val="00EB31A3"/>
    <w:rsid w:val="00EB3591"/>
    <w:rsid w:val="00EB4A7A"/>
    <w:rsid w:val="00EB5B85"/>
    <w:rsid w:val="00EB5EBE"/>
    <w:rsid w:val="00EB6022"/>
    <w:rsid w:val="00EB64C5"/>
    <w:rsid w:val="00EB6BC4"/>
    <w:rsid w:val="00EB762E"/>
    <w:rsid w:val="00EB7B71"/>
    <w:rsid w:val="00EC0E84"/>
    <w:rsid w:val="00EC151B"/>
    <w:rsid w:val="00EC1CD1"/>
    <w:rsid w:val="00EC40D0"/>
    <w:rsid w:val="00EC4E89"/>
    <w:rsid w:val="00EC6B92"/>
    <w:rsid w:val="00EC71B6"/>
    <w:rsid w:val="00ED02D3"/>
    <w:rsid w:val="00ED0BC2"/>
    <w:rsid w:val="00ED0D13"/>
    <w:rsid w:val="00ED1072"/>
    <w:rsid w:val="00ED1525"/>
    <w:rsid w:val="00ED4E32"/>
    <w:rsid w:val="00ED5D31"/>
    <w:rsid w:val="00ED6630"/>
    <w:rsid w:val="00ED6CD0"/>
    <w:rsid w:val="00EE05A4"/>
    <w:rsid w:val="00EE068E"/>
    <w:rsid w:val="00EE10E8"/>
    <w:rsid w:val="00EE223A"/>
    <w:rsid w:val="00EE2BA3"/>
    <w:rsid w:val="00EE3021"/>
    <w:rsid w:val="00EE3446"/>
    <w:rsid w:val="00EE38DD"/>
    <w:rsid w:val="00EE6A63"/>
    <w:rsid w:val="00EE7919"/>
    <w:rsid w:val="00EF045D"/>
    <w:rsid w:val="00EF4CC9"/>
    <w:rsid w:val="00EF62D2"/>
    <w:rsid w:val="00EF64B3"/>
    <w:rsid w:val="00F00BB0"/>
    <w:rsid w:val="00F01158"/>
    <w:rsid w:val="00F01E58"/>
    <w:rsid w:val="00F038D2"/>
    <w:rsid w:val="00F0624A"/>
    <w:rsid w:val="00F06996"/>
    <w:rsid w:val="00F1257E"/>
    <w:rsid w:val="00F13524"/>
    <w:rsid w:val="00F13834"/>
    <w:rsid w:val="00F151C3"/>
    <w:rsid w:val="00F15428"/>
    <w:rsid w:val="00F1681E"/>
    <w:rsid w:val="00F16EE4"/>
    <w:rsid w:val="00F17735"/>
    <w:rsid w:val="00F17952"/>
    <w:rsid w:val="00F200E7"/>
    <w:rsid w:val="00F219FF"/>
    <w:rsid w:val="00F25E4A"/>
    <w:rsid w:val="00F26100"/>
    <w:rsid w:val="00F27677"/>
    <w:rsid w:val="00F27882"/>
    <w:rsid w:val="00F3090A"/>
    <w:rsid w:val="00F31541"/>
    <w:rsid w:val="00F318C2"/>
    <w:rsid w:val="00F323CE"/>
    <w:rsid w:val="00F32888"/>
    <w:rsid w:val="00F32ED1"/>
    <w:rsid w:val="00F33F4D"/>
    <w:rsid w:val="00F35A2A"/>
    <w:rsid w:val="00F35E26"/>
    <w:rsid w:val="00F40078"/>
    <w:rsid w:val="00F41EC7"/>
    <w:rsid w:val="00F4456B"/>
    <w:rsid w:val="00F45E11"/>
    <w:rsid w:val="00F4619E"/>
    <w:rsid w:val="00F46F9B"/>
    <w:rsid w:val="00F47E4A"/>
    <w:rsid w:val="00F51F70"/>
    <w:rsid w:val="00F523B8"/>
    <w:rsid w:val="00F53AFE"/>
    <w:rsid w:val="00F53FE0"/>
    <w:rsid w:val="00F5407C"/>
    <w:rsid w:val="00F61C2C"/>
    <w:rsid w:val="00F63364"/>
    <w:rsid w:val="00F63EF8"/>
    <w:rsid w:val="00F640E6"/>
    <w:rsid w:val="00F6508E"/>
    <w:rsid w:val="00F655F1"/>
    <w:rsid w:val="00F6575B"/>
    <w:rsid w:val="00F6646E"/>
    <w:rsid w:val="00F6793E"/>
    <w:rsid w:val="00F70E59"/>
    <w:rsid w:val="00F7290A"/>
    <w:rsid w:val="00F739F7"/>
    <w:rsid w:val="00F74741"/>
    <w:rsid w:val="00F74744"/>
    <w:rsid w:val="00F74985"/>
    <w:rsid w:val="00F767E2"/>
    <w:rsid w:val="00F80C11"/>
    <w:rsid w:val="00F82AAA"/>
    <w:rsid w:val="00F853BB"/>
    <w:rsid w:val="00F85D28"/>
    <w:rsid w:val="00F86681"/>
    <w:rsid w:val="00F8701C"/>
    <w:rsid w:val="00F87739"/>
    <w:rsid w:val="00F90A8F"/>
    <w:rsid w:val="00F92BCE"/>
    <w:rsid w:val="00F92D83"/>
    <w:rsid w:val="00F939E1"/>
    <w:rsid w:val="00F9539E"/>
    <w:rsid w:val="00F962DF"/>
    <w:rsid w:val="00F97DD8"/>
    <w:rsid w:val="00FA27DC"/>
    <w:rsid w:val="00FA397C"/>
    <w:rsid w:val="00FA3AF5"/>
    <w:rsid w:val="00FA6FBA"/>
    <w:rsid w:val="00FA70E9"/>
    <w:rsid w:val="00FA7BCA"/>
    <w:rsid w:val="00FA7D11"/>
    <w:rsid w:val="00FB093C"/>
    <w:rsid w:val="00FB1F3C"/>
    <w:rsid w:val="00FB2782"/>
    <w:rsid w:val="00FB2A8A"/>
    <w:rsid w:val="00FB2DC5"/>
    <w:rsid w:val="00FB450C"/>
    <w:rsid w:val="00FB50A8"/>
    <w:rsid w:val="00FB6E0A"/>
    <w:rsid w:val="00FB7942"/>
    <w:rsid w:val="00FB7D52"/>
    <w:rsid w:val="00FC21C7"/>
    <w:rsid w:val="00FC2291"/>
    <w:rsid w:val="00FC2E06"/>
    <w:rsid w:val="00FC4C37"/>
    <w:rsid w:val="00FC4E9A"/>
    <w:rsid w:val="00FC529A"/>
    <w:rsid w:val="00FC6A41"/>
    <w:rsid w:val="00FC76C5"/>
    <w:rsid w:val="00FD01FC"/>
    <w:rsid w:val="00FD05C9"/>
    <w:rsid w:val="00FD0947"/>
    <w:rsid w:val="00FD12C2"/>
    <w:rsid w:val="00FD16C4"/>
    <w:rsid w:val="00FD21FC"/>
    <w:rsid w:val="00FD2290"/>
    <w:rsid w:val="00FD35CF"/>
    <w:rsid w:val="00FD442D"/>
    <w:rsid w:val="00FD5F13"/>
    <w:rsid w:val="00FD6848"/>
    <w:rsid w:val="00FE4031"/>
    <w:rsid w:val="00FF0CC2"/>
    <w:rsid w:val="00FF143F"/>
    <w:rsid w:val="00FF3663"/>
    <w:rsid w:val="00FF389A"/>
    <w:rsid w:val="00FF3AFA"/>
    <w:rsid w:val="00FF3C9F"/>
    <w:rsid w:val="00FF45D5"/>
    <w:rsid w:val="00FF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362"/>
    <w:rPr>
      <w:color w:val="0000FF" w:themeColor="hyperlink"/>
      <w:u w:val="single"/>
    </w:rPr>
  </w:style>
  <w:style w:type="paragraph" w:styleId="a4">
    <w:name w:val="Normal (Web)"/>
    <w:basedOn w:val="a"/>
    <w:uiPriority w:val="99"/>
    <w:semiHidden/>
    <w:unhideWhenUsed/>
    <w:rsid w:val="00BE7362"/>
    <w:pPr>
      <w:spacing w:before="100" w:beforeAutospacing="1" w:after="100" w:afterAutospacing="1" w:line="240" w:lineRule="auto"/>
      <w:jc w:val="both"/>
    </w:pPr>
    <w:rPr>
      <w:rFonts w:ascii="Verdana" w:eastAsia="Times New Roman" w:hAnsi="Verdana" w:cs="Times New Roman"/>
      <w:color w:val="333333"/>
      <w:sz w:val="15"/>
      <w:szCs w:val="15"/>
      <w:lang w:eastAsia="ru-RU"/>
    </w:rPr>
  </w:style>
  <w:style w:type="character" w:styleId="a5">
    <w:name w:val="Emphasis"/>
    <w:basedOn w:val="a0"/>
    <w:uiPriority w:val="20"/>
    <w:qFormat/>
    <w:rsid w:val="00BE7362"/>
    <w:rPr>
      <w:i/>
      <w:iCs/>
    </w:rPr>
  </w:style>
  <w:style w:type="character" w:styleId="a6">
    <w:name w:val="Strong"/>
    <w:basedOn w:val="a0"/>
    <w:uiPriority w:val="22"/>
    <w:qFormat/>
    <w:rsid w:val="00BE7362"/>
    <w:rPr>
      <w:b/>
      <w:bCs/>
    </w:rPr>
  </w:style>
  <w:style w:type="paragraph" w:styleId="a7">
    <w:name w:val="Balloon Text"/>
    <w:basedOn w:val="a"/>
    <w:link w:val="a8"/>
    <w:uiPriority w:val="99"/>
    <w:semiHidden/>
    <w:unhideWhenUsed/>
    <w:rsid w:val="00BE73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7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ukrcardio.org/journal.php/article/5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2541</Words>
  <Characters>14489</Characters>
  <Application>Microsoft Office Word</Application>
  <DocSecurity>0</DocSecurity>
  <Lines>120</Lines>
  <Paragraphs>33</Paragraphs>
  <ScaleCrop>false</ScaleCrop>
  <Company>Microsoft</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2013-07-09T12:34:00Z</dcterms:created>
  <dcterms:modified xsi:type="dcterms:W3CDTF">2013-07-09T12:42:00Z</dcterms:modified>
</cp:coreProperties>
</file>