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89" w:rsidRDefault="008F2289">
      <w:pPr>
        <w:rPr>
          <w:lang w:val="uk-UA"/>
        </w:rPr>
      </w:pPr>
    </w:p>
    <w:p w:rsidR="00041C93" w:rsidRDefault="00041C93">
      <w:pPr>
        <w:rPr>
          <w:lang w:val="uk-UA"/>
        </w:rPr>
      </w:pPr>
      <w:hyperlink r:id="rId5" w:history="1">
        <w:r w:rsidRPr="00054A6A">
          <w:rPr>
            <w:rStyle w:val="a3"/>
            <w:lang w:val="uk-UA"/>
          </w:rPr>
          <w:t>http://www.ukrcardio.org/journal.php/article/823</w:t>
        </w:r>
      </w:hyperlink>
    </w:p>
    <w:p w:rsidR="00041C93" w:rsidRPr="00041C93" w:rsidRDefault="00041C93" w:rsidP="00041C9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b/>
          <w:bCs/>
          <w:color w:val="333333"/>
          <w:sz w:val="15"/>
          <w:lang w:eastAsia="ru-RU"/>
        </w:rPr>
        <w:t>Международный регистр CLARIFY больных со стабильной ишемической болезнью сердца в Украине: особенности, проблемы, перспективы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 xml:space="preserve">М.И.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Лутай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А.Н. Пархоменко, А.Ф. Лысенко, И.П. Голикова,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Ph.G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Steg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N.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Greenlaw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I.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Ford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ДУ «Национальный научный центр “Институт кардиологии им. акад. Н.Д.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Стражеско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” НАМН Украины», Киев</w:t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br/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INSERM U698,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Universite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Paris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Diderot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, Париж, Франция</w:t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br/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AP-HP,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Hospital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Bichat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, Париж, Франция</w:t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br/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University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of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Glasgow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lang w:eastAsia="ru-RU"/>
        </w:rPr>
        <w:t>, Глазго, Великобритания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gramStart"/>
      <w:r w:rsidRPr="00041C93">
        <w:rPr>
          <w:rFonts w:ascii="Verdana" w:eastAsia="Times New Roman" w:hAnsi="Verdana" w:cs="Times New Roman"/>
          <w:b/>
          <w:bCs/>
          <w:i/>
          <w:iCs/>
          <w:color w:val="333333"/>
          <w:sz w:val="15"/>
          <w:szCs w:val="15"/>
          <w:lang w:eastAsia="ru-RU"/>
        </w:rPr>
        <w:t>Ключевые слова:</w:t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 xml:space="preserve"> ишемическая болезнь сердца, международный регистр CLARIFY, пациенты, Украина Международный регистр CLARIFY (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The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prospeCtive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observational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LongitudinAl</w:t>
      </w:r>
      <w:proofErr w:type="spellEnd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RegIstry</w:t>
      </w:r>
      <w:proofErr w:type="spellEnd"/>
      <w:proofErr w:type="gramEnd"/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oF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patients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with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stable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coronary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arterY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disease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) стартовал в 2009 г. Это значительный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проспективный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проект, который предполагает длительное, в течение 5 лет, наблюдение за больными с хронической ишемической болезнью сердца (ИБС).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На сегодняшний день в него включено 33 438 пациентов из 45 стран Европы, Америки, Африки, Азии, Австралии, включая 777 больных из Украины. Проект задуман с целью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получить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больше информации о пациентах со стабильной ИБС, поскольку в последнее время основное внимание уделялось вопросам диагностики и лечения больных с острыми формами заболевания.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 рамках проекта планируется определить основные характеристики амбулаторного пациента со стабильной ИБС, включая его демографические и клинические данные, методы лечения и исходы болезни.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Также предполагается исследовать различия между реальной клинической практикой и современными рекомендациями, основанными на данных доказательной медицины. Продолжительность исследования позволит изучить факторы, определяющие долговременный прогноз у этой популяции больных. Регистр является эпидемиологическим исследованием и не подразумевает каких-либо вмешательств в лечение больных. Промежуточные результаты CLARIFY, опубликованные в 2012 г. [12], представляют несомненный интерес для практикующего кардиолога, поскольку позволяют оценить особенности и качество диагностики и терапии хронической ИБС в разных странах мира, а также наметить перспективы для оптимизации ведения пациентов.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Как уже упоминалось, в исследование вошли больные с подтвержденным диагнозом ИБС. В качестве диагностических критериев использовали современные, достаточно жесткие параметры, включая документированный инфаркт миокарда (ИМ) – более 3 </w:t>
      </w:r>
      <w:proofErr w:type="spellStart"/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мес</w:t>
      </w:r>
      <w:proofErr w:type="spellEnd"/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назад;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ангиографически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подтвержденный стеноз хотя бы одной венечной артерии &gt; 50 %; приступы стенокардии в сочетании с результатами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стресс-тестов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подтверждающих ишемию миокарда.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В рамках регистра будет проанализирован значительный объем информации: демографические данные участников, анамнез заболевания, факторы риска, антропометрические показатели, информация о клинических симптомах, а также данные объективного осмотра, уровень артериального давления (АД) и частота сокращений сердца (ЧСС) –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пальпаторно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 по данным ЭКГ, результаты лабораторных анализов (уровни глюкозы крови,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гликозилированного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гемоглобина (НbA1с), холестерина (ХС),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триглицеридов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креатинина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 гемоглобина) и перечень получаемых лекарственных препаратов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Сбор и анализ данных проводит независимый статистический центр в Великобритании (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The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Robertson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Centre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for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Biostatistics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University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of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Glasgow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).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 регистре участвуют 2898 врачей. Каждый врач обследовал и наблюдает 10–15 больных. В Украине в исследование включено 777 пациентов из амбулаторной практики 52 врачей.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 украинской популяции больных со стабильной ИБС, как и в общей популяции CLARIFY, преобладают мужчины (~80 %).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Украинские пациенты, которые обращаются в поликлинику за медицинской помощью, оказались моложе среднестатистического пациента CLARIFY: соответственно 57,8 и 64,3 года (Р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2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; P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lastRenderedPageBreak/>
        <w:t>Таблица 1.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Исходные демографические данные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861810" cy="6249670"/>
            <wp:effectExtent l="19050" t="0" r="0" b="0"/>
            <wp:docPr id="5" name="Рисунок 11" descr="http://www.ukrcardio.org/pictures/IMAG313/luta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krcardio.org/pictures/IMAG313/lutai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Украинские пациенты регистра на момент начала исследования имели достоверно более тяжелый клинический статус (табл. 2, 3). Большинство из них (81 %) перенесли ИМ и жаловались на приступы стенокардии (86 %), причем 36 % имели стенокардию III функционального класса по классификации Канадской ассоциации кардиологов, то есть практически у каждого второго пациента симптоматика носила выраженный характер. В общей популяции 59 % пациентов имели ИМ в анамнезе и 20 % – стенокардию (оба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</w:t>
      </w:r>
      <w:proofErr w:type="gramEnd"/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lastRenderedPageBreak/>
        <w:t>Таблица 2.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Медицинский анамнез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861810" cy="2465070"/>
            <wp:effectExtent l="19050" t="0" r="0" b="0"/>
            <wp:docPr id="7" name="Рисунок 12" descr="http://www.ukrcardio.org/pictures/IMAG313/luta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krcardio.org/pictures/IMAG313/lutai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Таблица 3.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Клинический осмотр и симптомы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861810" cy="3244215"/>
            <wp:effectExtent l="19050" t="0" r="0" b="0"/>
            <wp:docPr id="8" name="Рисунок 13" descr="http://www.ukrcardio.org/pictures/IMAG313/luta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krcardio.org/pictures/IMAG313/lutai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Результаты лабораторного и инструментального обследования (включая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эхокардиографию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ЭКГ,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коронарографию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стресс-тесты</w:t>
      </w:r>
      <w:proofErr w:type="spellEnd"/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 дозированной физической нагрузкой, а также лабораторные показатели: уровни НbA1с,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креатинина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гемоглобина, глюкозы крови натощак, общего ХС, холестерина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липопротеинов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низкой (ХС ЛПНП) и высокой (ХС ЛПВП) плотности,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триглицеридов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) представлены в табл. 4.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lastRenderedPageBreak/>
        <w:t>Таблица 4.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Лабораторные и инструментальные показатели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861810" cy="4635500"/>
            <wp:effectExtent l="19050" t="0" r="0" b="0"/>
            <wp:docPr id="18" name="Рисунок 14" descr="http://www.ukrcardio.org/pictures/IMAG313/luta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krcardio.org/pictures/IMAG313/lutai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В украинской популяции CLARIFY значительно реже (у 36 % больных, общий показатель – 86 %) проводили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коронароангиографию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– исследование, важное для диагностики ИБС и определения терапевтической тактики. Это можно объяснить недостаточной технической оснащенностью отечественной кардиологической службы. Важно отметить, что распространенность поражения венечного сосудистого русла была приблизительно одинаковой в изучаемых группах больных, за исключением большей частоты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гемодинамически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значимого поражения ствола левой венечной артерии у больных украинской популяции (13,9 по сравнению с 8,48 %,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</w:t>
      </w:r>
      <w:proofErr w:type="gramEnd"/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 связи с этим возникает вопрос о необходимости системного пересмотра диагностических алгоритмов для стабильной ИБС, особенно для больных с наличием перенесенного ИМ в анамнезе.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Показатели, полученные при проведении проб с дозированной физической нагрузкой (симптомы ишемии миокарда, параметры толерантности к физическим нагрузкам), являются не только важными критериями диагностики ИБС, но в значительной степени определяют выбор корректной тактики лечения и позволяют оценить его эффективность.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Из других важных характеристик атеросклеротического процесса следует отметить более высокие значения уровней общего ХС, ХС ЛПНП 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триглицеридов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у украинских больных.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Следует также отметить, что в нашей стране существует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гипердиагностика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ИБС, о чем свидетельствуют данные статистики. Так, считается, что в Украине ~24 % взрослого населения имеют ИБС [1], что почти вдвое выше европейского показателя (~12–15 %). Вместе с тем, более детальный анализ данных, полученных в отечественных эпидемиологических исследованиях (И.М.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Горбась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Е.И.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Митченко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), показал, что распространенность ИБС в Украине составляет ~11–16 % [3].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Данные регистра CLARIFY позволяют оценить медикаментозное лечение больных со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стабильной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ИБС в мире в целом, а также в различных регионах и странах. Среди лекарственных препаратов, которые рекомендованы как базовая терапия, оказывающая достоверное влияние на прогноз заболевания [4, 11], в Украине назначают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липидоснижающую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терапию, в основном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статины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(96 %), ацетилсалициловую кислоту (91 %), </w:t>
      </w:r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адреноблокаторы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– </w:t>
      </w:r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-АБ (85 %), ингибиторы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ангиотензинпревращающего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фермента (ИАПФ) /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блокаторы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рецепторов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ангиотензина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II (БРА II) (92 %). Эти показатели даже несколько выше общих по регистру (табл. 5).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lastRenderedPageBreak/>
        <w:t>Таблица 5.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Исходная терапия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</w:r>
      <w:r>
        <w:rPr>
          <w:rFonts w:ascii="Verdana" w:eastAsia="Times New Roman" w:hAnsi="Verdana" w:cs="Times New Roman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861810" cy="2647950"/>
            <wp:effectExtent l="19050" t="0" r="0" b="0"/>
            <wp:docPr id="22" name="Рисунок 15" descr="http://www.ukrcardio.org/pictures/IMAG313/lu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krcardio.org/pictures/IMAG313/lutai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Вместе с тем, результаты лечения украинских участников регистра не всегда оптимальны, как, например, в случае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липидоснижающей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терапии. Так, уровень общего ХС в общей популяции практически соответствует общепринятым целевым значениям – 4,3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ммоль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/л, тогда как у украинских пациентов этот показатель значительно выше – 5,1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ммоль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/л (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</w:t>
      </w:r>
      <w:proofErr w:type="gramEnd"/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В общей популяции CLARIFY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липидоснижающую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терапию принимали 92 % участников, и показатели ХС ЛПНП в начале исследования соответствовали рекомендованным целевым значениям – в среднем 2,4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ммоль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/л. Большинство украинских участников регистра также лечились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статинами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(96 %), но уровни ХС ЛПНП у них были достоверно выше – 3,0 (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</w:t>
      </w:r>
      <w:proofErr w:type="gramEnd"/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Контроль ЧСС – одно из важнейших условий успешной терапии стабильной ИБС. Показатель ЧСС связан с долгосрочным прогнозом таких больных, что подтверждают клинические и популяционные исследования. Например, исследование А.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Diaz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 соавторов свидетельствует, что относительный риск смерти пациентов со стабильной ИБС возрастает на треть при ЧСС &gt; 83 в 1 мин по сравнению с лицами, имеющими ЧСС &lt; 62 в 1 мин, независимо от фракции выброса левого желудочка, степени поражения венечных артерий и медикаментозной терапии [5]. ЧСС считают одной из важнейших детерминант потребления миокардом кислорода. Замедление ЧСС обеспечивает удлинение диастолы и, соответственно, периода перфузии миокарда, что приобретает особое значение в условиях ишемии. Считается, что ЧСС оказывает влияние на развитие атеросклероза. Возможно, что ускорение ЧСС повышает риск острых коронарных событий в связи с механическим повреждением атеросклеротической бляшки. Таким образом, учащенный пульс играет важную роль в развитии и прогрессировании атеросклероза венечных артерий и провоцирует ишемические осложнения за счет повышения потребности в кислороде, снижения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диастолической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перфузии и механического воздействия на атеросклеротическую бляшку. Среди лекарственных средств, замедляющих ЧСС, для больных ИБС доказаны преимущества двух фармакологических групп препаратов – это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 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блокаторы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If-каналов (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ивабрадин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). Назначение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 после перенесенного ИМ снижает риск кардиальной смерти и повторного ИМ на ~30 % [9, 10]. Для воздействия на показатель смертности имеет значение длительный прием препаратов.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 оказывают выраженный симптоматический,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антиангинальный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/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антиишемический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эффект, устраняя или уменьшая клинические проявления болезни. В соответствии с международными 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отчественными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рекомендациями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 остаются препаратами первого ряда для пациентов со стабильной ИБС при отсутствии противопоказаний [4, 11]. Критерием эффективности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АБ, включая правильный выбор дозы препарата, является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урежение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ЧСС в состоянии покоя до 55–60 в 1 мин. Большинство украинцев (85,3 %), по данным CLARIFY, принимают </w:t>
      </w:r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-АБ. Но ЧСС при этом существенно превышает рекомендованные значения и составляет ~70 в 1 мин по данным оценки пульса и ЭКГ (см. табл. 3). Недостаточный контроль ЧСС у украинских пациентов удивляет еще и потому, что половине из них назначали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ивабрадин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в большинстве случаев вместе с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АБ. Известно, что основным гемодинамическим эффектом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ивабрадина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является снижение ЧСС как в состоянии покоя, так и при нагрузках.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Ивабрадин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наряду с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 включен в международные и отечественные рекомендации по лечению пациентов со стабильной стенокардией [2]. По результатам клинических исследований (ASSOCIATE, BEAUTIFUL), добавление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ивабрадина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к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 значительно повышало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антиангинальную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/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антиишемическую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эффективность лечения и обеспечивало лучший контроль ЧСС [8, 13], что, к сожалению, не было достигнуто в украинской популяции больных регистра CLARIFY.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Вероятно, наши пациенты попросту не принимают назначенное лечение или же принимают нерегулярно, в меньших, чем рекомендованные, дозах препаратов.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Для сравнения: в общей популяции регистра </w:t>
      </w:r>
      <w:proofErr w:type="gramStart"/>
      <w:r w:rsidRPr="00041C93">
        <w:rPr>
          <w:rFonts w:ascii="Symbol" w:eastAsia="Times New Roman" w:hAnsi="Symbol" w:cs="Times New Roman"/>
          <w:color w:val="333333"/>
          <w:sz w:val="14"/>
          <w:szCs w:val="14"/>
          <w:lang w:eastAsia="ru-RU"/>
        </w:rPr>
        <w:t>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-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АБ 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ивабрадин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принимали меньше больных, чем в Украине, – соответственно 74,9 по сравнению с 85,3 % и 8,9 по сравнению с 50,3 % (все различия достоверны, Р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Распределение больных в украинской популяции в зависимости от ЧСС представлено на рисунке.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noProof/>
          <w:color w:val="333333"/>
          <w:sz w:val="15"/>
          <w:szCs w:val="15"/>
          <w:lang w:eastAsia="ru-RU"/>
        </w:rPr>
        <w:lastRenderedPageBreak/>
        <w:drawing>
          <wp:inline distT="0" distB="0" distL="0" distR="0">
            <wp:extent cx="6830060" cy="3609975"/>
            <wp:effectExtent l="19050" t="0" r="8890" b="0"/>
            <wp:docPr id="23" name="Рисунок 16" descr="http://www.ukrcardio.org/pictures/IMAG313/luta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krcardio.org/pictures/IMAG313/lutai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br/>
      </w:r>
      <w:proofErr w:type="spell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Рисунок</w:t>
      </w:r>
      <w:proofErr w:type="gramStart"/>
      <w:r w:rsidRPr="00041C93">
        <w:rPr>
          <w:rFonts w:ascii="Verdana" w:eastAsia="Times New Roman" w:hAnsi="Verdana" w:cs="Times New Roman"/>
          <w:i/>
          <w:iCs/>
          <w:color w:val="333333"/>
          <w:sz w:val="15"/>
          <w:szCs w:val="15"/>
          <w:lang w:eastAsia="ru-RU"/>
        </w:rPr>
        <w:t>.</w:t>
      </w: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аспределение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пациентов с ИБС в украинской популяции в зависимости от ЧСС.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Серьезную обеспокоенность вызывают данные CLARIFY, касающиеся использования в Украине медикаментозных средств, маркированных как «другие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антиангинальные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препараты». Они были назначены участникам регистра в ~63 % случаев, это в 1,5–2 раза чаще, чем нитраты длительного действия или антагонисты кальция (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см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табл. 5). Уместно заметить, что анализ объемов аптечных продаж препаратов группы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«Средства, влияющие на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сердечно-сосудистую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систему» за 2005–2011 гг. показал, что 5 из 10 наиболее продаваемых в Украине кардиологических препаратов – это метаболические средства, включая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мильдоний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триметазидин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тиотриазолин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(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Pharm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Xplorer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Proxima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research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2012). Напротив, в США в 2011 г. среди наиболее продаваемых препаратов были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аторвастатин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клопидогрель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розувастатин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валсартан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эноксапарин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(IMS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data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2010). «Другие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антиангинальные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препараты» используют в Украине почти в 5 раз чаще, чем в мировой практике! Хорошо это или плохо?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Плохо, когда вместо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рекомендованых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антиангинальных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средств назначают препараты, которые являются лишь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адъювантными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к базисной терапии (только для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триметазидина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 не зарегистрированного в нашей стране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ранолазина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существует доказательная база).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Плохо, когда рекомендованная медикаментозная терапия не позволяет стабилизировать состояние больных с ИБС и наличием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стенозирующего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атеросклероза венечных артерий, и им при этом не проводят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диагностическую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коронарографию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с возможной последующей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реваскуляризацией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миокарда. 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Еще хуже, когда терапия замещается лекарствами без подтвержденной в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рандомизированных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многоцентровых исследованиях доказательной базы (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мильдоний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тиотриазолин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и другие), что создает проблемы с неоправданной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полипрагмазией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, риском возникновения побочных реакций и дополнительными финансовыми затратами.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Экономическая составляющая терапии имеет для украинских участников CLARIFY особое значение, потому что 96 % из них покупали необходимые медикаменты самостоятельно, в отличие от других стран мира, где в 78 % случаев частичное или полное возмещение стоимости терапии производится за счет государственных, страховых и других структур.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В заключение следует отметить исходно более тяжелый клинический статус больных с ИБС, вошедших в исследование CLARIFY в Украине, по сравнению с общей группой, более низкий уровень обследования, диагностики и стратификации риска (стресс-тест,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коронароангиография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), недостаточную эффективность проводимой медикаментозной терапии (более высокие уровни ХС ЛПНП и ЧСС, несмотря на назначение соответствующих лекарственных средств), более редкое использование интервенционных и хирургических методов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реваскуляризации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миокарда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Вместе с тем, участие Украины в международном регистре CLARIFY имеет большое значение для практической кардиологии. Данные, полученные в ходе исследования, позволят не только изучить особенности украинского пациента с хронической ИБС, но и оценить позиции отечественной клинической практики по сравнению с другими странами мира, а также оптимизировать диагностику и лечение таких больных.</w:t>
      </w:r>
    </w:p>
    <w:p w:rsidR="00041C93" w:rsidRPr="00041C93" w:rsidRDefault="00041C93" w:rsidP="00041C9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ru-RU"/>
        </w:rPr>
        <w:t>Литература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Корнацький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В.М.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Серцево-судинна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захворюваність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в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Україні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та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рекомендації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щодо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покращення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здоров’я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в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сучасних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умовах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Аналітично-статистичний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пос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ібник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.– К., 2012.– 117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c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Лікування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стабільної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стенокардії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Методичні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рекомендації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Асоціації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кардіологів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України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.– К., 2012.– 69 с.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Настанова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з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кардіолог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ії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/ З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 ред. В.М. Коваленка.– К.,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Моріон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, 2009.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Серцево-судинні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захворювання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Класифікація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стандарти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діагностики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та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лікування</w:t>
      </w:r>
      <w:proofErr w:type="spellEnd"/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/ З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а ред. В.М. Коваленка, М.І.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Лутая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, Ю.М.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Сіренка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.– К., 2011.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Diaz A., Bourassa M.G.,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Guertin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M. et al. Long-term prognostic value of resting heart rate in patients with suspected or proven coronary artery disease // Eur.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Heart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J.– 2005.–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Vol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26.– P. 967–974.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ESC/EACTS Guidelines on myocardial revascularization // Eur.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Heart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J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.–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2010.– doi:10 1093.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ESC/EAS Guidelines for management of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dyslipidaemias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// Eur.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Heart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J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.–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2011.–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Vol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32.– P. 1769–1818.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lastRenderedPageBreak/>
        <w:t xml:space="preserve">Fox K., Ford I.,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Steg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P.G. et al Relationship between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ivabradine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treatment and cardiovascular outcomes in patients with stable coronary artery disease and left ventricular systolic dysfunction with limiting angina: a subgroup analysis of the randomized, controlled BEAUTIFUL trial // Eur.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Heart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J.– 2009.–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Aug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31.– P. 1–9.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Freemanlle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N., Cleland J., Young P. et al. Beta-blockade after myocardial infarction: systematic review and meta regression analysis // Brit. Med. J.– 1999.–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Vol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318.– P. 1730–1737.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Frishman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W.H.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Postinfarction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survival: Role of beta-adrenergic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blocade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// Atherosclerosis and coronary artery disease / Ed. V.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Fuster</w:t>
      </w:r>
      <w:proofErr w:type="spellEnd"/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.–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Philadelphia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: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Lip-pencott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, 1996.– P. 1205–1214.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Guidelines on management of stable angina pectoris // Eur.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Heart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J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.–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2006.– doi:10 1093.</w:t>
      </w:r>
    </w:p>
    <w:p w:rsidR="00041C93" w:rsidRPr="00041C93" w:rsidRDefault="00041C93" w:rsidP="00041C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Steg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P.G., Ferrari R., Ford I. et al., CLARIFY Investigators. Heart rate and use of beta-blockers in stable outpatients with coronary artery disease //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PLoS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One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.–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2012.–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Vol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7 (5).– P. 36284.</w:t>
      </w:r>
    </w:p>
    <w:p w:rsidR="00041C93" w:rsidRDefault="00041C93" w:rsidP="00041C93">
      <w:pPr>
        <w:rPr>
          <w:rFonts w:ascii="Verdana" w:eastAsia="Times New Roman" w:hAnsi="Verdana" w:cs="Times New Roman"/>
          <w:color w:val="333333"/>
          <w:sz w:val="15"/>
          <w:szCs w:val="15"/>
          <w:lang w:val="uk-UA" w:eastAsia="ru-RU"/>
        </w:rPr>
      </w:pPr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Tardif J.-C.,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Ponikowski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P.,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Kahan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Th. Efficacy of the If current inhibitor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>ivabradine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val="en-US" w:eastAsia="ru-RU"/>
        </w:rPr>
        <w:t xml:space="preserve"> in patients with chronic stable angina receiving beta-blocker therapy: a 4 month, randomized, placebo-controlled trial (ASSOCIATE study) // Eur.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Heart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J</w:t>
      </w:r>
      <w:proofErr w:type="gram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.–</w:t>
      </w:r>
      <w:proofErr w:type="gram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 xml:space="preserve"> 2009.– </w:t>
      </w:r>
      <w:proofErr w:type="spellStart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Jan</w:t>
      </w:r>
      <w:proofErr w:type="spellEnd"/>
      <w:r w:rsidRPr="00041C93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. 9.– P. 1–9.</w:t>
      </w:r>
    </w:p>
    <w:sectPr w:rsidR="00041C93" w:rsidSect="008F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842"/>
    <w:multiLevelType w:val="multilevel"/>
    <w:tmpl w:val="44A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87DAA"/>
    <w:multiLevelType w:val="multilevel"/>
    <w:tmpl w:val="638E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342BA"/>
    <w:multiLevelType w:val="multilevel"/>
    <w:tmpl w:val="EC5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1C93"/>
    <w:rsid w:val="000017E4"/>
    <w:rsid w:val="00002A27"/>
    <w:rsid w:val="00003E53"/>
    <w:rsid w:val="00003EDA"/>
    <w:rsid w:val="00005897"/>
    <w:rsid w:val="00005F11"/>
    <w:rsid w:val="00006C55"/>
    <w:rsid w:val="00007608"/>
    <w:rsid w:val="00010097"/>
    <w:rsid w:val="000118BF"/>
    <w:rsid w:val="00012BAE"/>
    <w:rsid w:val="00013048"/>
    <w:rsid w:val="0001442E"/>
    <w:rsid w:val="00017603"/>
    <w:rsid w:val="00020254"/>
    <w:rsid w:val="0002077D"/>
    <w:rsid w:val="00023B8E"/>
    <w:rsid w:val="00025D4D"/>
    <w:rsid w:val="000277DF"/>
    <w:rsid w:val="00032F17"/>
    <w:rsid w:val="00033567"/>
    <w:rsid w:val="0003375F"/>
    <w:rsid w:val="00036692"/>
    <w:rsid w:val="00036C99"/>
    <w:rsid w:val="00037F54"/>
    <w:rsid w:val="0004089D"/>
    <w:rsid w:val="00041C93"/>
    <w:rsid w:val="00043D41"/>
    <w:rsid w:val="00044543"/>
    <w:rsid w:val="00044B2D"/>
    <w:rsid w:val="00045837"/>
    <w:rsid w:val="00051AA9"/>
    <w:rsid w:val="00051E88"/>
    <w:rsid w:val="00053D3B"/>
    <w:rsid w:val="0005594D"/>
    <w:rsid w:val="00056271"/>
    <w:rsid w:val="000566E7"/>
    <w:rsid w:val="00056DF9"/>
    <w:rsid w:val="00057F03"/>
    <w:rsid w:val="00060DF5"/>
    <w:rsid w:val="00060EE6"/>
    <w:rsid w:val="00061CFA"/>
    <w:rsid w:val="000638AF"/>
    <w:rsid w:val="00064B23"/>
    <w:rsid w:val="000655EA"/>
    <w:rsid w:val="00067270"/>
    <w:rsid w:val="0006769E"/>
    <w:rsid w:val="00067F7D"/>
    <w:rsid w:val="00071934"/>
    <w:rsid w:val="00071E3B"/>
    <w:rsid w:val="000720EC"/>
    <w:rsid w:val="000729B1"/>
    <w:rsid w:val="0007349C"/>
    <w:rsid w:val="00075147"/>
    <w:rsid w:val="000755FE"/>
    <w:rsid w:val="0007565D"/>
    <w:rsid w:val="00075935"/>
    <w:rsid w:val="0007777D"/>
    <w:rsid w:val="00080243"/>
    <w:rsid w:val="000808E5"/>
    <w:rsid w:val="00084124"/>
    <w:rsid w:val="00084550"/>
    <w:rsid w:val="00085661"/>
    <w:rsid w:val="000910FB"/>
    <w:rsid w:val="0009244F"/>
    <w:rsid w:val="000928FE"/>
    <w:rsid w:val="00092B86"/>
    <w:rsid w:val="00092D95"/>
    <w:rsid w:val="000957C9"/>
    <w:rsid w:val="00095820"/>
    <w:rsid w:val="000A259E"/>
    <w:rsid w:val="000A68C2"/>
    <w:rsid w:val="000B1097"/>
    <w:rsid w:val="000B2328"/>
    <w:rsid w:val="000B23A0"/>
    <w:rsid w:val="000B4430"/>
    <w:rsid w:val="000B477D"/>
    <w:rsid w:val="000B4B8F"/>
    <w:rsid w:val="000B7D35"/>
    <w:rsid w:val="000C03FD"/>
    <w:rsid w:val="000C2E0E"/>
    <w:rsid w:val="000C2ED3"/>
    <w:rsid w:val="000C2F76"/>
    <w:rsid w:val="000C7600"/>
    <w:rsid w:val="000D0B22"/>
    <w:rsid w:val="000D11CE"/>
    <w:rsid w:val="000D6044"/>
    <w:rsid w:val="000E0E99"/>
    <w:rsid w:val="000E11D6"/>
    <w:rsid w:val="000E213E"/>
    <w:rsid w:val="000E4729"/>
    <w:rsid w:val="000E4AAA"/>
    <w:rsid w:val="000E50F0"/>
    <w:rsid w:val="000E71D6"/>
    <w:rsid w:val="000E75AF"/>
    <w:rsid w:val="000E7B44"/>
    <w:rsid w:val="000F09AE"/>
    <w:rsid w:val="000F0D4E"/>
    <w:rsid w:val="000F10DC"/>
    <w:rsid w:val="000F658F"/>
    <w:rsid w:val="000F7731"/>
    <w:rsid w:val="000F7E84"/>
    <w:rsid w:val="0010060C"/>
    <w:rsid w:val="00101F23"/>
    <w:rsid w:val="0010373F"/>
    <w:rsid w:val="001037E6"/>
    <w:rsid w:val="00103BDA"/>
    <w:rsid w:val="0010422E"/>
    <w:rsid w:val="001047DA"/>
    <w:rsid w:val="00105C36"/>
    <w:rsid w:val="0010705F"/>
    <w:rsid w:val="001079A4"/>
    <w:rsid w:val="00110AE6"/>
    <w:rsid w:val="00111572"/>
    <w:rsid w:val="00111E93"/>
    <w:rsid w:val="001128DD"/>
    <w:rsid w:val="00113164"/>
    <w:rsid w:val="001132A6"/>
    <w:rsid w:val="0011405C"/>
    <w:rsid w:val="0011413B"/>
    <w:rsid w:val="00114DBD"/>
    <w:rsid w:val="00115086"/>
    <w:rsid w:val="001156B0"/>
    <w:rsid w:val="00116558"/>
    <w:rsid w:val="00116562"/>
    <w:rsid w:val="001178FF"/>
    <w:rsid w:val="0012463F"/>
    <w:rsid w:val="00124976"/>
    <w:rsid w:val="00124C67"/>
    <w:rsid w:val="00125161"/>
    <w:rsid w:val="001256D7"/>
    <w:rsid w:val="00125782"/>
    <w:rsid w:val="00130282"/>
    <w:rsid w:val="001302C4"/>
    <w:rsid w:val="00130667"/>
    <w:rsid w:val="001306D9"/>
    <w:rsid w:val="001309E6"/>
    <w:rsid w:val="00130FD1"/>
    <w:rsid w:val="0013256B"/>
    <w:rsid w:val="001343E4"/>
    <w:rsid w:val="001360E6"/>
    <w:rsid w:val="00136609"/>
    <w:rsid w:val="0014181E"/>
    <w:rsid w:val="00142BDA"/>
    <w:rsid w:val="00143698"/>
    <w:rsid w:val="00143F3E"/>
    <w:rsid w:val="00144092"/>
    <w:rsid w:val="00146DAD"/>
    <w:rsid w:val="001501A9"/>
    <w:rsid w:val="001522FC"/>
    <w:rsid w:val="0015397A"/>
    <w:rsid w:val="00153A8B"/>
    <w:rsid w:val="00153BF0"/>
    <w:rsid w:val="00154C2F"/>
    <w:rsid w:val="00154CF8"/>
    <w:rsid w:val="00157C3C"/>
    <w:rsid w:val="001607B5"/>
    <w:rsid w:val="00160986"/>
    <w:rsid w:val="00162A26"/>
    <w:rsid w:val="00163092"/>
    <w:rsid w:val="0016312A"/>
    <w:rsid w:val="00165BE5"/>
    <w:rsid w:val="00165D34"/>
    <w:rsid w:val="00166D0E"/>
    <w:rsid w:val="001671DE"/>
    <w:rsid w:val="001701D7"/>
    <w:rsid w:val="0017064E"/>
    <w:rsid w:val="00170B0A"/>
    <w:rsid w:val="001717E5"/>
    <w:rsid w:val="00171D18"/>
    <w:rsid w:val="0017249A"/>
    <w:rsid w:val="00172F18"/>
    <w:rsid w:val="00173270"/>
    <w:rsid w:val="00173657"/>
    <w:rsid w:val="0017367B"/>
    <w:rsid w:val="00173B13"/>
    <w:rsid w:val="00174545"/>
    <w:rsid w:val="0017454D"/>
    <w:rsid w:val="00174861"/>
    <w:rsid w:val="00174EC8"/>
    <w:rsid w:val="0017593C"/>
    <w:rsid w:val="00175BA1"/>
    <w:rsid w:val="00176F2B"/>
    <w:rsid w:val="00177D40"/>
    <w:rsid w:val="00180640"/>
    <w:rsid w:val="00183A85"/>
    <w:rsid w:val="001854C1"/>
    <w:rsid w:val="00190540"/>
    <w:rsid w:val="00194A64"/>
    <w:rsid w:val="001950AF"/>
    <w:rsid w:val="00195940"/>
    <w:rsid w:val="00196AD9"/>
    <w:rsid w:val="0019762F"/>
    <w:rsid w:val="001A28FE"/>
    <w:rsid w:val="001A2B92"/>
    <w:rsid w:val="001A446A"/>
    <w:rsid w:val="001A6D34"/>
    <w:rsid w:val="001A70C4"/>
    <w:rsid w:val="001B1099"/>
    <w:rsid w:val="001B15C4"/>
    <w:rsid w:val="001B171F"/>
    <w:rsid w:val="001B2E86"/>
    <w:rsid w:val="001B3C87"/>
    <w:rsid w:val="001B5D0E"/>
    <w:rsid w:val="001B6D26"/>
    <w:rsid w:val="001B7848"/>
    <w:rsid w:val="001B7949"/>
    <w:rsid w:val="001C07B5"/>
    <w:rsid w:val="001C2078"/>
    <w:rsid w:val="001C2F4F"/>
    <w:rsid w:val="001C40CF"/>
    <w:rsid w:val="001C509C"/>
    <w:rsid w:val="001C64CE"/>
    <w:rsid w:val="001C739F"/>
    <w:rsid w:val="001D0425"/>
    <w:rsid w:val="001D0B46"/>
    <w:rsid w:val="001D0BCB"/>
    <w:rsid w:val="001D0D84"/>
    <w:rsid w:val="001D27CF"/>
    <w:rsid w:val="001D43AE"/>
    <w:rsid w:val="001D55DD"/>
    <w:rsid w:val="001D6DDC"/>
    <w:rsid w:val="001E06E1"/>
    <w:rsid w:val="001E161F"/>
    <w:rsid w:val="001E1842"/>
    <w:rsid w:val="001E18DD"/>
    <w:rsid w:val="001E211A"/>
    <w:rsid w:val="001E3377"/>
    <w:rsid w:val="001E3CF0"/>
    <w:rsid w:val="001E3E0F"/>
    <w:rsid w:val="001E6DBB"/>
    <w:rsid w:val="001E6EF2"/>
    <w:rsid w:val="001E733B"/>
    <w:rsid w:val="001F240F"/>
    <w:rsid w:val="001F26D8"/>
    <w:rsid w:val="001F2B16"/>
    <w:rsid w:val="001F2CA8"/>
    <w:rsid w:val="001F3712"/>
    <w:rsid w:val="001F3FAA"/>
    <w:rsid w:val="001F405F"/>
    <w:rsid w:val="001F59FF"/>
    <w:rsid w:val="001F6080"/>
    <w:rsid w:val="00202C6D"/>
    <w:rsid w:val="002040D9"/>
    <w:rsid w:val="00204483"/>
    <w:rsid w:val="0020458A"/>
    <w:rsid w:val="00205F53"/>
    <w:rsid w:val="00206160"/>
    <w:rsid w:val="00207767"/>
    <w:rsid w:val="002078D0"/>
    <w:rsid w:val="002079EE"/>
    <w:rsid w:val="00207C0F"/>
    <w:rsid w:val="002110AC"/>
    <w:rsid w:val="002116A3"/>
    <w:rsid w:val="00212122"/>
    <w:rsid w:val="0021213B"/>
    <w:rsid w:val="00212EB4"/>
    <w:rsid w:val="00213ACA"/>
    <w:rsid w:val="00213E92"/>
    <w:rsid w:val="00214F54"/>
    <w:rsid w:val="0022143F"/>
    <w:rsid w:val="00222886"/>
    <w:rsid w:val="00226D94"/>
    <w:rsid w:val="00230752"/>
    <w:rsid w:val="002314ED"/>
    <w:rsid w:val="00231657"/>
    <w:rsid w:val="002326F9"/>
    <w:rsid w:val="0023310A"/>
    <w:rsid w:val="0023427E"/>
    <w:rsid w:val="002372D6"/>
    <w:rsid w:val="002377AC"/>
    <w:rsid w:val="002405EC"/>
    <w:rsid w:val="00241557"/>
    <w:rsid w:val="00242188"/>
    <w:rsid w:val="002424FF"/>
    <w:rsid w:val="00242CD1"/>
    <w:rsid w:val="002431BD"/>
    <w:rsid w:val="00244FB7"/>
    <w:rsid w:val="00246142"/>
    <w:rsid w:val="0024676F"/>
    <w:rsid w:val="0024774D"/>
    <w:rsid w:val="002478A3"/>
    <w:rsid w:val="00251493"/>
    <w:rsid w:val="00251D51"/>
    <w:rsid w:val="00256EA7"/>
    <w:rsid w:val="002610E3"/>
    <w:rsid w:val="00265AA4"/>
    <w:rsid w:val="00266647"/>
    <w:rsid w:val="002669BE"/>
    <w:rsid w:val="002708AC"/>
    <w:rsid w:val="002725CC"/>
    <w:rsid w:val="0027284D"/>
    <w:rsid w:val="002735CE"/>
    <w:rsid w:val="00276585"/>
    <w:rsid w:val="002770B4"/>
    <w:rsid w:val="0027743F"/>
    <w:rsid w:val="00277561"/>
    <w:rsid w:val="0027776C"/>
    <w:rsid w:val="00277A37"/>
    <w:rsid w:val="002806C4"/>
    <w:rsid w:val="0028134A"/>
    <w:rsid w:val="00281838"/>
    <w:rsid w:val="00282EEE"/>
    <w:rsid w:val="00284546"/>
    <w:rsid w:val="00284D7C"/>
    <w:rsid w:val="00284EA9"/>
    <w:rsid w:val="00292455"/>
    <w:rsid w:val="00292DFA"/>
    <w:rsid w:val="00293B30"/>
    <w:rsid w:val="00294963"/>
    <w:rsid w:val="002955F1"/>
    <w:rsid w:val="00295723"/>
    <w:rsid w:val="00295F03"/>
    <w:rsid w:val="00296709"/>
    <w:rsid w:val="00296ACA"/>
    <w:rsid w:val="00296E25"/>
    <w:rsid w:val="0029735C"/>
    <w:rsid w:val="002A0433"/>
    <w:rsid w:val="002A0D88"/>
    <w:rsid w:val="002A2430"/>
    <w:rsid w:val="002A243E"/>
    <w:rsid w:val="002A492D"/>
    <w:rsid w:val="002A5572"/>
    <w:rsid w:val="002A5AA6"/>
    <w:rsid w:val="002A7183"/>
    <w:rsid w:val="002A75F5"/>
    <w:rsid w:val="002B04A3"/>
    <w:rsid w:val="002B06A4"/>
    <w:rsid w:val="002B19C9"/>
    <w:rsid w:val="002B257B"/>
    <w:rsid w:val="002B2DF8"/>
    <w:rsid w:val="002B4FDD"/>
    <w:rsid w:val="002B5A9D"/>
    <w:rsid w:val="002B629D"/>
    <w:rsid w:val="002B6ACD"/>
    <w:rsid w:val="002C03CE"/>
    <w:rsid w:val="002C32BD"/>
    <w:rsid w:val="002C5123"/>
    <w:rsid w:val="002C69F1"/>
    <w:rsid w:val="002C6A81"/>
    <w:rsid w:val="002D08C0"/>
    <w:rsid w:val="002D08DF"/>
    <w:rsid w:val="002D23AE"/>
    <w:rsid w:val="002D2AFE"/>
    <w:rsid w:val="002D3592"/>
    <w:rsid w:val="002D4139"/>
    <w:rsid w:val="002D56AC"/>
    <w:rsid w:val="002E1DA0"/>
    <w:rsid w:val="002E25B4"/>
    <w:rsid w:val="002E3374"/>
    <w:rsid w:val="002E3C0F"/>
    <w:rsid w:val="002E4022"/>
    <w:rsid w:val="002E55DB"/>
    <w:rsid w:val="002E629C"/>
    <w:rsid w:val="002E6A40"/>
    <w:rsid w:val="002F215C"/>
    <w:rsid w:val="002F29D4"/>
    <w:rsid w:val="002F2D25"/>
    <w:rsid w:val="002F44BB"/>
    <w:rsid w:val="002F53F7"/>
    <w:rsid w:val="002F5EEF"/>
    <w:rsid w:val="002F726B"/>
    <w:rsid w:val="003006A2"/>
    <w:rsid w:val="003026F9"/>
    <w:rsid w:val="00302811"/>
    <w:rsid w:val="003037B3"/>
    <w:rsid w:val="00306681"/>
    <w:rsid w:val="00307FC7"/>
    <w:rsid w:val="0031076F"/>
    <w:rsid w:val="00311A53"/>
    <w:rsid w:val="003135B9"/>
    <w:rsid w:val="0031434B"/>
    <w:rsid w:val="003152D9"/>
    <w:rsid w:val="00315953"/>
    <w:rsid w:val="00323344"/>
    <w:rsid w:val="003255DC"/>
    <w:rsid w:val="00326C9F"/>
    <w:rsid w:val="003274D5"/>
    <w:rsid w:val="00327976"/>
    <w:rsid w:val="003307EE"/>
    <w:rsid w:val="003320EC"/>
    <w:rsid w:val="00335811"/>
    <w:rsid w:val="00337001"/>
    <w:rsid w:val="0034006C"/>
    <w:rsid w:val="003432BC"/>
    <w:rsid w:val="0034521B"/>
    <w:rsid w:val="0034650C"/>
    <w:rsid w:val="00347C4C"/>
    <w:rsid w:val="003504A6"/>
    <w:rsid w:val="00350BA4"/>
    <w:rsid w:val="00350DA7"/>
    <w:rsid w:val="00353519"/>
    <w:rsid w:val="00355ABF"/>
    <w:rsid w:val="00356A39"/>
    <w:rsid w:val="00356B97"/>
    <w:rsid w:val="00356C60"/>
    <w:rsid w:val="003601A8"/>
    <w:rsid w:val="00360464"/>
    <w:rsid w:val="00360FB2"/>
    <w:rsid w:val="003645C2"/>
    <w:rsid w:val="00365AC5"/>
    <w:rsid w:val="00365FF9"/>
    <w:rsid w:val="0037181C"/>
    <w:rsid w:val="00371F51"/>
    <w:rsid w:val="0037245D"/>
    <w:rsid w:val="00372631"/>
    <w:rsid w:val="00372E3E"/>
    <w:rsid w:val="00373581"/>
    <w:rsid w:val="003741F2"/>
    <w:rsid w:val="00374EDF"/>
    <w:rsid w:val="00377333"/>
    <w:rsid w:val="003805A5"/>
    <w:rsid w:val="00381B06"/>
    <w:rsid w:val="0038214A"/>
    <w:rsid w:val="00382CEE"/>
    <w:rsid w:val="00383297"/>
    <w:rsid w:val="00385543"/>
    <w:rsid w:val="00385F69"/>
    <w:rsid w:val="00386952"/>
    <w:rsid w:val="003876EA"/>
    <w:rsid w:val="00390028"/>
    <w:rsid w:val="00392A27"/>
    <w:rsid w:val="00392C33"/>
    <w:rsid w:val="00392E2E"/>
    <w:rsid w:val="003931B8"/>
    <w:rsid w:val="00393D65"/>
    <w:rsid w:val="00393E6D"/>
    <w:rsid w:val="00393F7D"/>
    <w:rsid w:val="00395A34"/>
    <w:rsid w:val="0039651C"/>
    <w:rsid w:val="0039776C"/>
    <w:rsid w:val="0039780D"/>
    <w:rsid w:val="00397D80"/>
    <w:rsid w:val="00397E7A"/>
    <w:rsid w:val="003A0B29"/>
    <w:rsid w:val="003A15EB"/>
    <w:rsid w:val="003A4939"/>
    <w:rsid w:val="003A5D41"/>
    <w:rsid w:val="003A5FDF"/>
    <w:rsid w:val="003A6D07"/>
    <w:rsid w:val="003B0236"/>
    <w:rsid w:val="003B08B9"/>
    <w:rsid w:val="003B1440"/>
    <w:rsid w:val="003B14B9"/>
    <w:rsid w:val="003B2BB5"/>
    <w:rsid w:val="003B3702"/>
    <w:rsid w:val="003B385F"/>
    <w:rsid w:val="003B53B1"/>
    <w:rsid w:val="003B590A"/>
    <w:rsid w:val="003B75E4"/>
    <w:rsid w:val="003B7650"/>
    <w:rsid w:val="003B7C27"/>
    <w:rsid w:val="003C1F2C"/>
    <w:rsid w:val="003C2DD1"/>
    <w:rsid w:val="003C2E1F"/>
    <w:rsid w:val="003C5409"/>
    <w:rsid w:val="003D29A1"/>
    <w:rsid w:val="003D3E91"/>
    <w:rsid w:val="003D5430"/>
    <w:rsid w:val="003D568B"/>
    <w:rsid w:val="003D58E7"/>
    <w:rsid w:val="003D7A9F"/>
    <w:rsid w:val="003E082C"/>
    <w:rsid w:val="003E134F"/>
    <w:rsid w:val="003E181A"/>
    <w:rsid w:val="003E52A0"/>
    <w:rsid w:val="003E6513"/>
    <w:rsid w:val="003F046E"/>
    <w:rsid w:val="003F21B1"/>
    <w:rsid w:val="003F3485"/>
    <w:rsid w:val="003F52D5"/>
    <w:rsid w:val="003F5C6A"/>
    <w:rsid w:val="003F6378"/>
    <w:rsid w:val="003F71BD"/>
    <w:rsid w:val="003F7568"/>
    <w:rsid w:val="003F7C97"/>
    <w:rsid w:val="00400293"/>
    <w:rsid w:val="0040202A"/>
    <w:rsid w:val="004024B9"/>
    <w:rsid w:val="00402C38"/>
    <w:rsid w:val="00403A3A"/>
    <w:rsid w:val="00403DE2"/>
    <w:rsid w:val="00404EBA"/>
    <w:rsid w:val="00406042"/>
    <w:rsid w:val="00406986"/>
    <w:rsid w:val="00407882"/>
    <w:rsid w:val="0041133B"/>
    <w:rsid w:val="004131B5"/>
    <w:rsid w:val="00413509"/>
    <w:rsid w:val="004140CC"/>
    <w:rsid w:val="00414F4C"/>
    <w:rsid w:val="00415506"/>
    <w:rsid w:val="004168CB"/>
    <w:rsid w:val="00416DAE"/>
    <w:rsid w:val="004177B1"/>
    <w:rsid w:val="00417A6F"/>
    <w:rsid w:val="00420201"/>
    <w:rsid w:val="0042048C"/>
    <w:rsid w:val="00421CDA"/>
    <w:rsid w:val="00422CA7"/>
    <w:rsid w:val="004232B8"/>
    <w:rsid w:val="004249D9"/>
    <w:rsid w:val="004264C6"/>
    <w:rsid w:val="00426E90"/>
    <w:rsid w:val="0042727F"/>
    <w:rsid w:val="004275DF"/>
    <w:rsid w:val="004339CB"/>
    <w:rsid w:val="00434406"/>
    <w:rsid w:val="00434C2C"/>
    <w:rsid w:val="0043569F"/>
    <w:rsid w:val="00440D76"/>
    <w:rsid w:val="004416F5"/>
    <w:rsid w:val="00442302"/>
    <w:rsid w:val="00442740"/>
    <w:rsid w:val="004433F1"/>
    <w:rsid w:val="00444A74"/>
    <w:rsid w:val="004454A2"/>
    <w:rsid w:val="004457C1"/>
    <w:rsid w:val="004474CA"/>
    <w:rsid w:val="004479A9"/>
    <w:rsid w:val="004516DA"/>
    <w:rsid w:val="00452751"/>
    <w:rsid w:val="00453D6F"/>
    <w:rsid w:val="0045498D"/>
    <w:rsid w:val="00455226"/>
    <w:rsid w:val="00455C7A"/>
    <w:rsid w:val="00457392"/>
    <w:rsid w:val="00460A93"/>
    <w:rsid w:val="00461BD4"/>
    <w:rsid w:val="004626B8"/>
    <w:rsid w:val="00462882"/>
    <w:rsid w:val="00466B44"/>
    <w:rsid w:val="00466F9D"/>
    <w:rsid w:val="0047115B"/>
    <w:rsid w:val="00472026"/>
    <w:rsid w:val="004751FA"/>
    <w:rsid w:val="00476CDD"/>
    <w:rsid w:val="00477A17"/>
    <w:rsid w:val="004805BC"/>
    <w:rsid w:val="004813A5"/>
    <w:rsid w:val="004823FF"/>
    <w:rsid w:val="00483D05"/>
    <w:rsid w:val="00485564"/>
    <w:rsid w:val="00486493"/>
    <w:rsid w:val="004866A6"/>
    <w:rsid w:val="0049001B"/>
    <w:rsid w:val="00491724"/>
    <w:rsid w:val="00491D80"/>
    <w:rsid w:val="00496FE1"/>
    <w:rsid w:val="0049788D"/>
    <w:rsid w:val="004A0834"/>
    <w:rsid w:val="004A104E"/>
    <w:rsid w:val="004A2344"/>
    <w:rsid w:val="004A2919"/>
    <w:rsid w:val="004A2941"/>
    <w:rsid w:val="004A5134"/>
    <w:rsid w:val="004A6BCF"/>
    <w:rsid w:val="004A73B3"/>
    <w:rsid w:val="004A73DB"/>
    <w:rsid w:val="004A7DA2"/>
    <w:rsid w:val="004B309F"/>
    <w:rsid w:val="004B31AA"/>
    <w:rsid w:val="004B5037"/>
    <w:rsid w:val="004B7046"/>
    <w:rsid w:val="004C0703"/>
    <w:rsid w:val="004C0B35"/>
    <w:rsid w:val="004C15AE"/>
    <w:rsid w:val="004C338E"/>
    <w:rsid w:val="004C3D1A"/>
    <w:rsid w:val="004C3EEE"/>
    <w:rsid w:val="004C46D5"/>
    <w:rsid w:val="004C5A62"/>
    <w:rsid w:val="004C7E0E"/>
    <w:rsid w:val="004D00EE"/>
    <w:rsid w:val="004D0453"/>
    <w:rsid w:val="004D15D5"/>
    <w:rsid w:val="004D387A"/>
    <w:rsid w:val="004D3B86"/>
    <w:rsid w:val="004D47EF"/>
    <w:rsid w:val="004D482F"/>
    <w:rsid w:val="004D4BBF"/>
    <w:rsid w:val="004D6499"/>
    <w:rsid w:val="004D6D07"/>
    <w:rsid w:val="004D765E"/>
    <w:rsid w:val="004E0628"/>
    <w:rsid w:val="004E144F"/>
    <w:rsid w:val="004E1FC3"/>
    <w:rsid w:val="004E2686"/>
    <w:rsid w:val="004E37B0"/>
    <w:rsid w:val="004E3E14"/>
    <w:rsid w:val="004E56B9"/>
    <w:rsid w:val="004E5BD1"/>
    <w:rsid w:val="004E6622"/>
    <w:rsid w:val="004E7A07"/>
    <w:rsid w:val="004F2EDA"/>
    <w:rsid w:val="004F3290"/>
    <w:rsid w:val="004F6781"/>
    <w:rsid w:val="00500118"/>
    <w:rsid w:val="00500735"/>
    <w:rsid w:val="00500E45"/>
    <w:rsid w:val="0050172C"/>
    <w:rsid w:val="00502628"/>
    <w:rsid w:val="00502A04"/>
    <w:rsid w:val="00502A73"/>
    <w:rsid w:val="005032EC"/>
    <w:rsid w:val="0050371D"/>
    <w:rsid w:val="00503DD1"/>
    <w:rsid w:val="005079AF"/>
    <w:rsid w:val="00510276"/>
    <w:rsid w:val="005123BB"/>
    <w:rsid w:val="005128EF"/>
    <w:rsid w:val="00512DC3"/>
    <w:rsid w:val="00513BF9"/>
    <w:rsid w:val="00514815"/>
    <w:rsid w:val="0051566E"/>
    <w:rsid w:val="00520295"/>
    <w:rsid w:val="00521ED1"/>
    <w:rsid w:val="005225F0"/>
    <w:rsid w:val="00522653"/>
    <w:rsid w:val="0052446B"/>
    <w:rsid w:val="00524827"/>
    <w:rsid w:val="00524897"/>
    <w:rsid w:val="00524BF5"/>
    <w:rsid w:val="00524FF7"/>
    <w:rsid w:val="0053082D"/>
    <w:rsid w:val="00532A9E"/>
    <w:rsid w:val="0053381E"/>
    <w:rsid w:val="005339F4"/>
    <w:rsid w:val="005357ED"/>
    <w:rsid w:val="005371D5"/>
    <w:rsid w:val="00537B60"/>
    <w:rsid w:val="00540195"/>
    <w:rsid w:val="00540953"/>
    <w:rsid w:val="0054125F"/>
    <w:rsid w:val="00541487"/>
    <w:rsid w:val="00542C32"/>
    <w:rsid w:val="00543554"/>
    <w:rsid w:val="00544363"/>
    <w:rsid w:val="005448FE"/>
    <w:rsid w:val="00544C12"/>
    <w:rsid w:val="00550F16"/>
    <w:rsid w:val="00552288"/>
    <w:rsid w:val="00552D34"/>
    <w:rsid w:val="00554F17"/>
    <w:rsid w:val="0055598F"/>
    <w:rsid w:val="00560129"/>
    <w:rsid w:val="005617B3"/>
    <w:rsid w:val="00562270"/>
    <w:rsid w:val="0056263E"/>
    <w:rsid w:val="005632E1"/>
    <w:rsid w:val="00564A7C"/>
    <w:rsid w:val="00564C91"/>
    <w:rsid w:val="00571B18"/>
    <w:rsid w:val="00571DC8"/>
    <w:rsid w:val="00572426"/>
    <w:rsid w:val="00572A5B"/>
    <w:rsid w:val="00573013"/>
    <w:rsid w:val="00573F44"/>
    <w:rsid w:val="0057521B"/>
    <w:rsid w:val="00577B46"/>
    <w:rsid w:val="00577CDC"/>
    <w:rsid w:val="00580948"/>
    <w:rsid w:val="00583113"/>
    <w:rsid w:val="00583FA6"/>
    <w:rsid w:val="005841F5"/>
    <w:rsid w:val="00586DF0"/>
    <w:rsid w:val="00590832"/>
    <w:rsid w:val="00591D7D"/>
    <w:rsid w:val="005939A3"/>
    <w:rsid w:val="005957E6"/>
    <w:rsid w:val="0059668A"/>
    <w:rsid w:val="00596F51"/>
    <w:rsid w:val="00597202"/>
    <w:rsid w:val="005A32A8"/>
    <w:rsid w:val="005A3D8E"/>
    <w:rsid w:val="005A4552"/>
    <w:rsid w:val="005A5215"/>
    <w:rsid w:val="005A530B"/>
    <w:rsid w:val="005A7E57"/>
    <w:rsid w:val="005B0D0D"/>
    <w:rsid w:val="005B2DF7"/>
    <w:rsid w:val="005B3F62"/>
    <w:rsid w:val="005B66EA"/>
    <w:rsid w:val="005C0305"/>
    <w:rsid w:val="005C0308"/>
    <w:rsid w:val="005C0C89"/>
    <w:rsid w:val="005C0E55"/>
    <w:rsid w:val="005C2C18"/>
    <w:rsid w:val="005C395A"/>
    <w:rsid w:val="005C3B25"/>
    <w:rsid w:val="005C3C64"/>
    <w:rsid w:val="005C7900"/>
    <w:rsid w:val="005C7B20"/>
    <w:rsid w:val="005D06B7"/>
    <w:rsid w:val="005D0A4C"/>
    <w:rsid w:val="005D1493"/>
    <w:rsid w:val="005D1676"/>
    <w:rsid w:val="005D1BFF"/>
    <w:rsid w:val="005D2AC2"/>
    <w:rsid w:val="005D3412"/>
    <w:rsid w:val="005D46AC"/>
    <w:rsid w:val="005D4D5E"/>
    <w:rsid w:val="005D5A7B"/>
    <w:rsid w:val="005D692D"/>
    <w:rsid w:val="005E1816"/>
    <w:rsid w:val="005E355C"/>
    <w:rsid w:val="005E38C5"/>
    <w:rsid w:val="005E3FF3"/>
    <w:rsid w:val="005E5137"/>
    <w:rsid w:val="005E72D3"/>
    <w:rsid w:val="005F0A80"/>
    <w:rsid w:val="005F20AC"/>
    <w:rsid w:val="005F23F2"/>
    <w:rsid w:val="005F31DF"/>
    <w:rsid w:val="005F384F"/>
    <w:rsid w:val="005F3876"/>
    <w:rsid w:val="005F5AEA"/>
    <w:rsid w:val="005F6B62"/>
    <w:rsid w:val="005F72AE"/>
    <w:rsid w:val="005F7869"/>
    <w:rsid w:val="00600FF7"/>
    <w:rsid w:val="00603F91"/>
    <w:rsid w:val="00606078"/>
    <w:rsid w:val="0060678B"/>
    <w:rsid w:val="006074EC"/>
    <w:rsid w:val="00611DAC"/>
    <w:rsid w:val="006124D6"/>
    <w:rsid w:val="00612A7D"/>
    <w:rsid w:val="006134EA"/>
    <w:rsid w:val="00614632"/>
    <w:rsid w:val="0061570E"/>
    <w:rsid w:val="00622338"/>
    <w:rsid w:val="0062392B"/>
    <w:rsid w:val="006248BE"/>
    <w:rsid w:val="0062531D"/>
    <w:rsid w:val="006254DB"/>
    <w:rsid w:val="006258C4"/>
    <w:rsid w:val="006259D6"/>
    <w:rsid w:val="00626AE0"/>
    <w:rsid w:val="00627463"/>
    <w:rsid w:val="0062776F"/>
    <w:rsid w:val="00627BA9"/>
    <w:rsid w:val="00632A86"/>
    <w:rsid w:val="006331CA"/>
    <w:rsid w:val="0063408A"/>
    <w:rsid w:val="00634564"/>
    <w:rsid w:val="006351B5"/>
    <w:rsid w:val="00635287"/>
    <w:rsid w:val="00635C9D"/>
    <w:rsid w:val="0063746E"/>
    <w:rsid w:val="00637498"/>
    <w:rsid w:val="006376A8"/>
    <w:rsid w:val="006402E6"/>
    <w:rsid w:val="006415F8"/>
    <w:rsid w:val="006431DD"/>
    <w:rsid w:val="006448E1"/>
    <w:rsid w:val="00644EF2"/>
    <w:rsid w:val="006461FE"/>
    <w:rsid w:val="006501EE"/>
    <w:rsid w:val="00651CCC"/>
    <w:rsid w:val="0065465B"/>
    <w:rsid w:val="00654D8D"/>
    <w:rsid w:val="00655C41"/>
    <w:rsid w:val="00657BAD"/>
    <w:rsid w:val="006627CA"/>
    <w:rsid w:val="00662BCF"/>
    <w:rsid w:val="00663538"/>
    <w:rsid w:val="00663F74"/>
    <w:rsid w:val="00664DA8"/>
    <w:rsid w:val="006655AC"/>
    <w:rsid w:val="00665A2A"/>
    <w:rsid w:val="00665D25"/>
    <w:rsid w:val="006667EF"/>
    <w:rsid w:val="006668BD"/>
    <w:rsid w:val="0067009E"/>
    <w:rsid w:val="00670367"/>
    <w:rsid w:val="00670563"/>
    <w:rsid w:val="00670C3D"/>
    <w:rsid w:val="006711DD"/>
    <w:rsid w:val="00672A56"/>
    <w:rsid w:val="00672CEE"/>
    <w:rsid w:val="0067441E"/>
    <w:rsid w:val="006745E4"/>
    <w:rsid w:val="00675272"/>
    <w:rsid w:val="006755D7"/>
    <w:rsid w:val="00680134"/>
    <w:rsid w:val="0068078C"/>
    <w:rsid w:val="00681025"/>
    <w:rsid w:val="006817A6"/>
    <w:rsid w:val="00682280"/>
    <w:rsid w:val="006829E4"/>
    <w:rsid w:val="006849E5"/>
    <w:rsid w:val="006849EA"/>
    <w:rsid w:val="00684E8C"/>
    <w:rsid w:val="00685321"/>
    <w:rsid w:val="006854C4"/>
    <w:rsid w:val="00685561"/>
    <w:rsid w:val="006857E1"/>
    <w:rsid w:val="00685D83"/>
    <w:rsid w:val="00686181"/>
    <w:rsid w:val="0069392E"/>
    <w:rsid w:val="006945A7"/>
    <w:rsid w:val="00694CA2"/>
    <w:rsid w:val="00695C4F"/>
    <w:rsid w:val="00695D42"/>
    <w:rsid w:val="00696B0B"/>
    <w:rsid w:val="00696BCF"/>
    <w:rsid w:val="006970B9"/>
    <w:rsid w:val="006A0C3C"/>
    <w:rsid w:val="006A1DD5"/>
    <w:rsid w:val="006A2F68"/>
    <w:rsid w:val="006A360A"/>
    <w:rsid w:val="006A4DB9"/>
    <w:rsid w:val="006A71CD"/>
    <w:rsid w:val="006A7D27"/>
    <w:rsid w:val="006A7F0A"/>
    <w:rsid w:val="006B1CD7"/>
    <w:rsid w:val="006B21DF"/>
    <w:rsid w:val="006B3C5B"/>
    <w:rsid w:val="006B47C4"/>
    <w:rsid w:val="006B4AB0"/>
    <w:rsid w:val="006B4D71"/>
    <w:rsid w:val="006B5AC0"/>
    <w:rsid w:val="006B61D6"/>
    <w:rsid w:val="006B6AA8"/>
    <w:rsid w:val="006B6FC0"/>
    <w:rsid w:val="006C16D1"/>
    <w:rsid w:val="006C36B2"/>
    <w:rsid w:val="006C377F"/>
    <w:rsid w:val="006C3B92"/>
    <w:rsid w:val="006C4A76"/>
    <w:rsid w:val="006C577B"/>
    <w:rsid w:val="006C5E43"/>
    <w:rsid w:val="006C5EAD"/>
    <w:rsid w:val="006C7846"/>
    <w:rsid w:val="006C78EB"/>
    <w:rsid w:val="006D0675"/>
    <w:rsid w:val="006D1B07"/>
    <w:rsid w:val="006D3837"/>
    <w:rsid w:val="006D39E7"/>
    <w:rsid w:val="006D3F8C"/>
    <w:rsid w:val="006D53F1"/>
    <w:rsid w:val="006D6111"/>
    <w:rsid w:val="006D74B7"/>
    <w:rsid w:val="006D786A"/>
    <w:rsid w:val="006D7B28"/>
    <w:rsid w:val="006E11B3"/>
    <w:rsid w:val="006E1524"/>
    <w:rsid w:val="006E1B82"/>
    <w:rsid w:val="006E2778"/>
    <w:rsid w:val="006E30CD"/>
    <w:rsid w:val="006E373C"/>
    <w:rsid w:val="006E38C7"/>
    <w:rsid w:val="006E3CB8"/>
    <w:rsid w:val="006E515A"/>
    <w:rsid w:val="006E6F1C"/>
    <w:rsid w:val="006E745D"/>
    <w:rsid w:val="006F2A89"/>
    <w:rsid w:val="006F3C90"/>
    <w:rsid w:val="006F5125"/>
    <w:rsid w:val="006F5CCF"/>
    <w:rsid w:val="00703344"/>
    <w:rsid w:val="00703C02"/>
    <w:rsid w:val="0070426F"/>
    <w:rsid w:val="00705E62"/>
    <w:rsid w:val="007071CA"/>
    <w:rsid w:val="00707422"/>
    <w:rsid w:val="00707F6C"/>
    <w:rsid w:val="00710A5C"/>
    <w:rsid w:val="00710AD8"/>
    <w:rsid w:val="00712DDD"/>
    <w:rsid w:val="0071457D"/>
    <w:rsid w:val="007154DB"/>
    <w:rsid w:val="00715B89"/>
    <w:rsid w:val="00715F8C"/>
    <w:rsid w:val="00716948"/>
    <w:rsid w:val="00716BEA"/>
    <w:rsid w:val="007205E6"/>
    <w:rsid w:val="0072300E"/>
    <w:rsid w:val="007305DC"/>
    <w:rsid w:val="007309F3"/>
    <w:rsid w:val="00731D5A"/>
    <w:rsid w:val="00732A7D"/>
    <w:rsid w:val="00733E6B"/>
    <w:rsid w:val="00733FE2"/>
    <w:rsid w:val="00734BF6"/>
    <w:rsid w:val="00736E3F"/>
    <w:rsid w:val="00737F31"/>
    <w:rsid w:val="00744C17"/>
    <w:rsid w:val="007453D2"/>
    <w:rsid w:val="0074781E"/>
    <w:rsid w:val="007479E2"/>
    <w:rsid w:val="007505AD"/>
    <w:rsid w:val="00751F50"/>
    <w:rsid w:val="00752909"/>
    <w:rsid w:val="00753628"/>
    <w:rsid w:val="0075634D"/>
    <w:rsid w:val="007572DA"/>
    <w:rsid w:val="00757D50"/>
    <w:rsid w:val="00761406"/>
    <w:rsid w:val="00761A3D"/>
    <w:rsid w:val="007627D4"/>
    <w:rsid w:val="007630F0"/>
    <w:rsid w:val="007662CE"/>
    <w:rsid w:val="007704F0"/>
    <w:rsid w:val="00770761"/>
    <w:rsid w:val="00771655"/>
    <w:rsid w:val="00772CE9"/>
    <w:rsid w:val="007740D9"/>
    <w:rsid w:val="00774F0C"/>
    <w:rsid w:val="0077572D"/>
    <w:rsid w:val="00775DDC"/>
    <w:rsid w:val="0077680E"/>
    <w:rsid w:val="00776DE1"/>
    <w:rsid w:val="0077795A"/>
    <w:rsid w:val="00780043"/>
    <w:rsid w:val="007855ED"/>
    <w:rsid w:val="00791367"/>
    <w:rsid w:val="00791CF3"/>
    <w:rsid w:val="0079251E"/>
    <w:rsid w:val="0079482F"/>
    <w:rsid w:val="00794A8B"/>
    <w:rsid w:val="00795A7C"/>
    <w:rsid w:val="00795CF0"/>
    <w:rsid w:val="007976E5"/>
    <w:rsid w:val="00797B8D"/>
    <w:rsid w:val="007A0718"/>
    <w:rsid w:val="007A108F"/>
    <w:rsid w:val="007A1D81"/>
    <w:rsid w:val="007A2352"/>
    <w:rsid w:val="007A49AA"/>
    <w:rsid w:val="007A71F6"/>
    <w:rsid w:val="007B238F"/>
    <w:rsid w:val="007B27DF"/>
    <w:rsid w:val="007B5DBC"/>
    <w:rsid w:val="007B5E2C"/>
    <w:rsid w:val="007C13FB"/>
    <w:rsid w:val="007C1518"/>
    <w:rsid w:val="007C26F7"/>
    <w:rsid w:val="007C2A6D"/>
    <w:rsid w:val="007C2D8B"/>
    <w:rsid w:val="007C34AE"/>
    <w:rsid w:val="007C47EC"/>
    <w:rsid w:val="007C5670"/>
    <w:rsid w:val="007C5C16"/>
    <w:rsid w:val="007C64FA"/>
    <w:rsid w:val="007C7409"/>
    <w:rsid w:val="007D023D"/>
    <w:rsid w:val="007D040F"/>
    <w:rsid w:val="007D15A4"/>
    <w:rsid w:val="007D1E87"/>
    <w:rsid w:val="007D3B77"/>
    <w:rsid w:val="007D4163"/>
    <w:rsid w:val="007D44AA"/>
    <w:rsid w:val="007D4DA4"/>
    <w:rsid w:val="007D7C6F"/>
    <w:rsid w:val="007D7F86"/>
    <w:rsid w:val="007E076D"/>
    <w:rsid w:val="007E0B0E"/>
    <w:rsid w:val="007E33FB"/>
    <w:rsid w:val="007E3F19"/>
    <w:rsid w:val="007E791E"/>
    <w:rsid w:val="007F08E6"/>
    <w:rsid w:val="007F1555"/>
    <w:rsid w:val="007F2231"/>
    <w:rsid w:val="007F3D01"/>
    <w:rsid w:val="007F45BA"/>
    <w:rsid w:val="007F6648"/>
    <w:rsid w:val="007F7866"/>
    <w:rsid w:val="00800B06"/>
    <w:rsid w:val="00801245"/>
    <w:rsid w:val="00803797"/>
    <w:rsid w:val="00805AE7"/>
    <w:rsid w:val="008077D5"/>
    <w:rsid w:val="008102F3"/>
    <w:rsid w:val="008132DD"/>
    <w:rsid w:val="00813BBC"/>
    <w:rsid w:val="008201AB"/>
    <w:rsid w:val="00820211"/>
    <w:rsid w:val="008204C5"/>
    <w:rsid w:val="0082051C"/>
    <w:rsid w:val="0082161D"/>
    <w:rsid w:val="00824969"/>
    <w:rsid w:val="00824F0D"/>
    <w:rsid w:val="00825586"/>
    <w:rsid w:val="00830596"/>
    <w:rsid w:val="00831A27"/>
    <w:rsid w:val="00831F8E"/>
    <w:rsid w:val="008339B2"/>
    <w:rsid w:val="00834A91"/>
    <w:rsid w:val="00834BAF"/>
    <w:rsid w:val="008364BA"/>
    <w:rsid w:val="008404CC"/>
    <w:rsid w:val="00840BC3"/>
    <w:rsid w:val="00844238"/>
    <w:rsid w:val="008469D0"/>
    <w:rsid w:val="0085075E"/>
    <w:rsid w:val="00850B48"/>
    <w:rsid w:val="00851C2D"/>
    <w:rsid w:val="00852755"/>
    <w:rsid w:val="00854A4C"/>
    <w:rsid w:val="008551AE"/>
    <w:rsid w:val="00862C2E"/>
    <w:rsid w:val="00862CA2"/>
    <w:rsid w:val="00864BD3"/>
    <w:rsid w:val="00865ACA"/>
    <w:rsid w:val="00865BAA"/>
    <w:rsid w:val="00865EF8"/>
    <w:rsid w:val="00867863"/>
    <w:rsid w:val="00870F37"/>
    <w:rsid w:val="00871315"/>
    <w:rsid w:val="00871FC2"/>
    <w:rsid w:val="0087217B"/>
    <w:rsid w:val="00873434"/>
    <w:rsid w:val="008745B1"/>
    <w:rsid w:val="00874BB2"/>
    <w:rsid w:val="008772C9"/>
    <w:rsid w:val="00880381"/>
    <w:rsid w:val="00881C29"/>
    <w:rsid w:val="00882103"/>
    <w:rsid w:val="0088221C"/>
    <w:rsid w:val="008835CF"/>
    <w:rsid w:val="00883E48"/>
    <w:rsid w:val="00884283"/>
    <w:rsid w:val="008856A7"/>
    <w:rsid w:val="00890794"/>
    <w:rsid w:val="00890BFF"/>
    <w:rsid w:val="00890C5F"/>
    <w:rsid w:val="0089103C"/>
    <w:rsid w:val="00891331"/>
    <w:rsid w:val="0089198F"/>
    <w:rsid w:val="00895EC0"/>
    <w:rsid w:val="00897507"/>
    <w:rsid w:val="008A1A1B"/>
    <w:rsid w:val="008A259B"/>
    <w:rsid w:val="008A279A"/>
    <w:rsid w:val="008A28F5"/>
    <w:rsid w:val="008A3B77"/>
    <w:rsid w:val="008A441D"/>
    <w:rsid w:val="008A45BB"/>
    <w:rsid w:val="008A5452"/>
    <w:rsid w:val="008A61CA"/>
    <w:rsid w:val="008A6EB2"/>
    <w:rsid w:val="008A7655"/>
    <w:rsid w:val="008B09E7"/>
    <w:rsid w:val="008B0DC1"/>
    <w:rsid w:val="008B16E4"/>
    <w:rsid w:val="008B1FD7"/>
    <w:rsid w:val="008B351B"/>
    <w:rsid w:val="008B4D1B"/>
    <w:rsid w:val="008B6150"/>
    <w:rsid w:val="008B6295"/>
    <w:rsid w:val="008B6692"/>
    <w:rsid w:val="008B7092"/>
    <w:rsid w:val="008C1943"/>
    <w:rsid w:val="008C1BA4"/>
    <w:rsid w:val="008C2A6C"/>
    <w:rsid w:val="008C2E60"/>
    <w:rsid w:val="008C5E34"/>
    <w:rsid w:val="008C6EBA"/>
    <w:rsid w:val="008C6F7E"/>
    <w:rsid w:val="008C76A5"/>
    <w:rsid w:val="008D1D28"/>
    <w:rsid w:val="008D3518"/>
    <w:rsid w:val="008D387C"/>
    <w:rsid w:val="008D3976"/>
    <w:rsid w:val="008D3C11"/>
    <w:rsid w:val="008D3CD5"/>
    <w:rsid w:val="008D3EDA"/>
    <w:rsid w:val="008D6383"/>
    <w:rsid w:val="008D7075"/>
    <w:rsid w:val="008D7573"/>
    <w:rsid w:val="008E08F3"/>
    <w:rsid w:val="008E20EC"/>
    <w:rsid w:val="008E2900"/>
    <w:rsid w:val="008E31D9"/>
    <w:rsid w:val="008E481C"/>
    <w:rsid w:val="008E6BEB"/>
    <w:rsid w:val="008E727D"/>
    <w:rsid w:val="008F09F0"/>
    <w:rsid w:val="008F1063"/>
    <w:rsid w:val="008F2289"/>
    <w:rsid w:val="008F3598"/>
    <w:rsid w:val="008F5404"/>
    <w:rsid w:val="008F7B69"/>
    <w:rsid w:val="00900C9B"/>
    <w:rsid w:val="00901F1A"/>
    <w:rsid w:val="009029DB"/>
    <w:rsid w:val="0090366D"/>
    <w:rsid w:val="009043C2"/>
    <w:rsid w:val="00905368"/>
    <w:rsid w:val="009066CB"/>
    <w:rsid w:val="00907AB3"/>
    <w:rsid w:val="00907B75"/>
    <w:rsid w:val="009107C1"/>
    <w:rsid w:val="00911780"/>
    <w:rsid w:val="0091201C"/>
    <w:rsid w:val="0091242A"/>
    <w:rsid w:val="00915041"/>
    <w:rsid w:val="0091533C"/>
    <w:rsid w:val="0091580C"/>
    <w:rsid w:val="009215FD"/>
    <w:rsid w:val="0092229C"/>
    <w:rsid w:val="00923FD3"/>
    <w:rsid w:val="00930B42"/>
    <w:rsid w:val="00933B9C"/>
    <w:rsid w:val="00936472"/>
    <w:rsid w:val="0093653B"/>
    <w:rsid w:val="009377A6"/>
    <w:rsid w:val="00941C51"/>
    <w:rsid w:val="009462DE"/>
    <w:rsid w:val="0094705E"/>
    <w:rsid w:val="00950E4F"/>
    <w:rsid w:val="00951C1B"/>
    <w:rsid w:val="00951E0A"/>
    <w:rsid w:val="00953B11"/>
    <w:rsid w:val="00954397"/>
    <w:rsid w:val="009565D3"/>
    <w:rsid w:val="00956CB2"/>
    <w:rsid w:val="00957230"/>
    <w:rsid w:val="00957450"/>
    <w:rsid w:val="00957800"/>
    <w:rsid w:val="00957DD6"/>
    <w:rsid w:val="0096149F"/>
    <w:rsid w:val="00962960"/>
    <w:rsid w:val="00962C69"/>
    <w:rsid w:val="009634B4"/>
    <w:rsid w:val="00966436"/>
    <w:rsid w:val="00966F48"/>
    <w:rsid w:val="00967632"/>
    <w:rsid w:val="0097009D"/>
    <w:rsid w:val="00971A4E"/>
    <w:rsid w:val="00972A44"/>
    <w:rsid w:val="00972FDF"/>
    <w:rsid w:val="00973033"/>
    <w:rsid w:val="009744A5"/>
    <w:rsid w:val="0097797C"/>
    <w:rsid w:val="00981124"/>
    <w:rsid w:val="00981BC4"/>
    <w:rsid w:val="00981F7E"/>
    <w:rsid w:val="009836B0"/>
    <w:rsid w:val="00984486"/>
    <w:rsid w:val="00984702"/>
    <w:rsid w:val="00987152"/>
    <w:rsid w:val="0098799C"/>
    <w:rsid w:val="00991297"/>
    <w:rsid w:val="00991633"/>
    <w:rsid w:val="009918C1"/>
    <w:rsid w:val="00991A37"/>
    <w:rsid w:val="00992B36"/>
    <w:rsid w:val="0099380C"/>
    <w:rsid w:val="00993BBD"/>
    <w:rsid w:val="009953A5"/>
    <w:rsid w:val="009962ED"/>
    <w:rsid w:val="00996EA3"/>
    <w:rsid w:val="009A0267"/>
    <w:rsid w:val="009A0312"/>
    <w:rsid w:val="009A072F"/>
    <w:rsid w:val="009A0EBB"/>
    <w:rsid w:val="009A128B"/>
    <w:rsid w:val="009A1553"/>
    <w:rsid w:val="009A1626"/>
    <w:rsid w:val="009A4B35"/>
    <w:rsid w:val="009A6887"/>
    <w:rsid w:val="009A6DA7"/>
    <w:rsid w:val="009B013C"/>
    <w:rsid w:val="009B0289"/>
    <w:rsid w:val="009B02A7"/>
    <w:rsid w:val="009B0611"/>
    <w:rsid w:val="009B0999"/>
    <w:rsid w:val="009B21E2"/>
    <w:rsid w:val="009B2EE2"/>
    <w:rsid w:val="009B32B1"/>
    <w:rsid w:val="009B33C9"/>
    <w:rsid w:val="009B5E0E"/>
    <w:rsid w:val="009B6E44"/>
    <w:rsid w:val="009B7188"/>
    <w:rsid w:val="009B71C4"/>
    <w:rsid w:val="009C15B9"/>
    <w:rsid w:val="009C1EEA"/>
    <w:rsid w:val="009C2E5B"/>
    <w:rsid w:val="009C4E47"/>
    <w:rsid w:val="009C51E5"/>
    <w:rsid w:val="009C6250"/>
    <w:rsid w:val="009D0702"/>
    <w:rsid w:val="009D1774"/>
    <w:rsid w:val="009D2B97"/>
    <w:rsid w:val="009D2FAE"/>
    <w:rsid w:val="009D387F"/>
    <w:rsid w:val="009D4E9B"/>
    <w:rsid w:val="009D62D7"/>
    <w:rsid w:val="009D6684"/>
    <w:rsid w:val="009D6C32"/>
    <w:rsid w:val="009E1F62"/>
    <w:rsid w:val="009E2B5F"/>
    <w:rsid w:val="009E2CE6"/>
    <w:rsid w:val="009E3E41"/>
    <w:rsid w:val="009E6893"/>
    <w:rsid w:val="009F085E"/>
    <w:rsid w:val="009F5778"/>
    <w:rsid w:val="009F63E8"/>
    <w:rsid w:val="00A0183B"/>
    <w:rsid w:val="00A025C9"/>
    <w:rsid w:val="00A03D5E"/>
    <w:rsid w:val="00A03E90"/>
    <w:rsid w:val="00A04446"/>
    <w:rsid w:val="00A045AF"/>
    <w:rsid w:val="00A04B29"/>
    <w:rsid w:val="00A04FCB"/>
    <w:rsid w:val="00A06614"/>
    <w:rsid w:val="00A06FB6"/>
    <w:rsid w:val="00A07487"/>
    <w:rsid w:val="00A1038C"/>
    <w:rsid w:val="00A110AF"/>
    <w:rsid w:val="00A11309"/>
    <w:rsid w:val="00A11B60"/>
    <w:rsid w:val="00A121D3"/>
    <w:rsid w:val="00A12A97"/>
    <w:rsid w:val="00A12CC9"/>
    <w:rsid w:val="00A16F9F"/>
    <w:rsid w:val="00A1709D"/>
    <w:rsid w:val="00A17864"/>
    <w:rsid w:val="00A20700"/>
    <w:rsid w:val="00A2090C"/>
    <w:rsid w:val="00A22299"/>
    <w:rsid w:val="00A226D3"/>
    <w:rsid w:val="00A23DBB"/>
    <w:rsid w:val="00A30435"/>
    <w:rsid w:val="00A3082F"/>
    <w:rsid w:val="00A310C3"/>
    <w:rsid w:val="00A328C4"/>
    <w:rsid w:val="00A33442"/>
    <w:rsid w:val="00A352B5"/>
    <w:rsid w:val="00A352CA"/>
    <w:rsid w:val="00A373A6"/>
    <w:rsid w:val="00A37602"/>
    <w:rsid w:val="00A378F6"/>
    <w:rsid w:val="00A402D8"/>
    <w:rsid w:val="00A406CC"/>
    <w:rsid w:val="00A42A17"/>
    <w:rsid w:val="00A442B6"/>
    <w:rsid w:val="00A45103"/>
    <w:rsid w:val="00A46373"/>
    <w:rsid w:val="00A466DB"/>
    <w:rsid w:val="00A47198"/>
    <w:rsid w:val="00A50400"/>
    <w:rsid w:val="00A511D0"/>
    <w:rsid w:val="00A52357"/>
    <w:rsid w:val="00A52FB4"/>
    <w:rsid w:val="00A53523"/>
    <w:rsid w:val="00A53579"/>
    <w:rsid w:val="00A53D86"/>
    <w:rsid w:val="00A53F37"/>
    <w:rsid w:val="00A54806"/>
    <w:rsid w:val="00A55603"/>
    <w:rsid w:val="00A55A4C"/>
    <w:rsid w:val="00A5610F"/>
    <w:rsid w:val="00A605D9"/>
    <w:rsid w:val="00A63E87"/>
    <w:rsid w:val="00A675B6"/>
    <w:rsid w:val="00A67FE9"/>
    <w:rsid w:val="00A70121"/>
    <w:rsid w:val="00A70E42"/>
    <w:rsid w:val="00A712F1"/>
    <w:rsid w:val="00A71E0A"/>
    <w:rsid w:val="00A730CF"/>
    <w:rsid w:val="00A746CB"/>
    <w:rsid w:val="00A75DD3"/>
    <w:rsid w:val="00A75E6A"/>
    <w:rsid w:val="00A805F5"/>
    <w:rsid w:val="00A813A9"/>
    <w:rsid w:val="00A8322D"/>
    <w:rsid w:val="00A8384F"/>
    <w:rsid w:val="00A843F0"/>
    <w:rsid w:val="00A84667"/>
    <w:rsid w:val="00A84AEA"/>
    <w:rsid w:val="00A8553A"/>
    <w:rsid w:val="00A8629D"/>
    <w:rsid w:val="00A8686E"/>
    <w:rsid w:val="00A87C05"/>
    <w:rsid w:val="00A87F85"/>
    <w:rsid w:val="00A903C0"/>
    <w:rsid w:val="00A9127F"/>
    <w:rsid w:val="00A925A7"/>
    <w:rsid w:val="00A92640"/>
    <w:rsid w:val="00A93725"/>
    <w:rsid w:val="00A93FA4"/>
    <w:rsid w:val="00A9448F"/>
    <w:rsid w:val="00A95C78"/>
    <w:rsid w:val="00A95FBA"/>
    <w:rsid w:val="00A9602C"/>
    <w:rsid w:val="00A9623B"/>
    <w:rsid w:val="00A974B9"/>
    <w:rsid w:val="00AA1A1E"/>
    <w:rsid w:val="00AA2871"/>
    <w:rsid w:val="00AA2F40"/>
    <w:rsid w:val="00AA3493"/>
    <w:rsid w:val="00AA6CEA"/>
    <w:rsid w:val="00AA7549"/>
    <w:rsid w:val="00AA7D92"/>
    <w:rsid w:val="00AB238A"/>
    <w:rsid w:val="00AB2854"/>
    <w:rsid w:val="00AB68E2"/>
    <w:rsid w:val="00AB707D"/>
    <w:rsid w:val="00AC1A0F"/>
    <w:rsid w:val="00AC1A5D"/>
    <w:rsid w:val="00AC20B6"/>
    <w:rsid w:val="00AC20FD"/>
    <w:rsid w:val="00AC2C15"/>
    <w:rsid w:val="00AC2FF7"/>
    <w:rsid w:val="00AC461F"/>
    <w:rsid w:val="00AC5D45"/>
    <w:rsid w:val="00AC5FA4"/>
    <w:rsid w:val="00AC61EE"/>
    <w:rsid w:val="00AC641C"/>
    <w:rsid w:val="00AC6703"/>
    <w:rsid w:val="00AC6F12"/>
    <w:rsid w:val="00AC7C24"/>
    <w:rsid w:val="00AC7FCC"/>
    <w:rsid w:val="00AD020C"/>
    <w:rsid w:val="00AD0AA5"/>
    <w:rsid w:val="00AD0C94"/>
    <w:rsid w:val="00AD0E5D"/>
    <w:rsid w:val="00AD17F4"/>
    <w:rsid w:val="00AD25B2"/>
    <w:rsid w:val="00AD489C"/>
    <w:rsid w:val="00AE01D7"/>
    <w:rsid w:val="00AE04E6"/>
    <w:rsid w:val="00AE0A90"/>
    <w:rsid w:val="00AE23E6"/>
    <w:rsid w:val="00AE59A3"/>
    <w:rsid w:val="00AE6BA8"/>
    <w:rsid w:val="00AE707D"/>
    <w:rsid w:val="00AE74E3"/>
    <w:rsid w:val="00AE7944"/>
    <w:rsid w:val="00AF2142"/>
    <w:rsid w:val="00AF285F"/>
    <w:rsid w:val="00AF2CCA"/>
    <w:rsid w:val="00AF48C9"/>
    <w:rsid w:val="00AF7034"/>
    <w:rsid w:val="00AF7EFD"/>
    <w:rsid w:val="00B00157"/>
    <w:rsid w:val="00B00DE5"/>
    <w:rsid w:val="00B0196F"/>
    <w:rsid w:val="00B026B3"/>
    <w:rsid w:val="00B03800"/>
    <w:rsid w:val="00B03A57"/>
    <w:rsid w:val="00B0461D"/>
    <w:rsid w:val="00B0488B"/>
    <w:rsid w:val="00B07454"/>
    <w:rsid w:val="00B07582"/>
    <w:rsid w:val="00B078A7"/>
    <w:rsid w:val="00B07A6B"/>
    <w:rsid w:val="00B10062"/>
    <w:rsid w:val="00B10A57"/>
    <w:rsid w:val="00B11547"/>
    <w:rsid w:val="00B12F81"/>
    <w:rsid w:val="00B134C3"/>
    <w:rsid w:val="00B13557"/>
    <w:rsid w:val="00B14826"/>
    <w:rsid w:val="00B168D1"/>
    <w:rsid w:val="00B17370"/>
    <w:rsid w:val="00B2011C"/>
    <w:rsid w:val="00B2036A"/>
    <w:rsid w:val="00B20DBF"/>
    <w:rsid w:val="00B219C5"/>
    <w:rsid w:val="00B220EB"/>
    <w:rsid w:val="00B22347"/>
    <w:rsid w:val="00B2314B"/>
    <w:rsid w:val="00B23A5B"/>
    <w:rsid w:val="00B247B7"/>
    <w:rsid w:val="00B2599D"/>
    <w:rsid w:val="00B26508"/>
    <w:rsid w:val="00B269E5"/>
    <w:rsid w:val="00B27FA2"/>
    <w:rsid w:val="00B30984"/>
    <w:rsid w:val="00B30F54"/>
    <w:rsid w:val="00B32B9B"/>
    <w:rsid w:val="00B33F97"/>
    <w:rsid w:val="00B3400E"/>
    <w:rsid w:val="00B35738"/>
    <w:rsid w:val="00B36215"/>
    <w:rsid w:val="00B400C4"/>
    <w:rsid w:val="00B42584"/>
    <w:rsid w:val="00B42A23"/>
    <w:rsid w:val="00B42D3B"/>
    <w:rsid w:val="00B431C6"/>
    <w:rsid w:val="00B43A62"/>
    <w:rsid w:val="00B43B75"/>
    <w:rsid w:val="00B44BF2"/>
    <w:rsid w:val="00B44CB5"/>
    <w:rsid w:val="00B45193"/>
    <w:rsid w:val="00B45333"/>
    <w:rsid w:val="00B45A64"/>
    <w:rsid w:val="00B469D7"/>
    <w:rsid w:val="00B4774E"/>
    <w:rsid w:val="00B5350C"/>
    <w:rsid w:val="00B541AB"/>
    <w:rsid w:val="00B55323"/>
    <w:rsid w:val="00B55B2B"/>
    <w:rsid w:val="00B55DB7"/>
    <w:rsid w:val="00B57D42"/>
    <w:rsid w:val="00B66BCE"/>
    <w:rsid w:val="00B702B7"/>
    <w:rsid w:val="00B7101B"/>
    <w:rsid w:val="00B73789"/>
    <w:rsid w:val="00B737D0"/>
    <w:rsid w:val="00B74428"/>
    <w:rsid w:val="00B768E5"/>
    <w:rsid w:val="00B76D2D"/>
    <w:rsid w:val="00B81D07"/>
    <w:rsid w:val="00B825A3"/>
    <w:rsid w:val="00B8274A"/>
    <w:rsid w:val="00B82DD1"/>
    <w:rsid w:val="00B834B3"/>
    <w:rsid w:val="00B839B9"/>
    <w:rsid w:val="00B856F6"/>
    <w:rsid w:val="00B8740B"/>
    <w:rsid w:val="00B90163"/>
    <w:rsid w:val="00B90335"/>
    <w:rsid w:val="00B91518"/>
    <w:rsid w:val="00B91AE6"/>
    <w:rsid w:val="00B91D3C"/>
    <w:rsid w:val="00B91F76"/>
    <w:rsid w:val="00B936DC"/>
    <w:rsid w:val="00B93883"/>
    <w:rsid w:val="00B942DB"/>
    <w:rsid w:val="00B94E3A"/>
    <w:rsid w:val="00B95C68"/>
    <w:rsid w:val="00B96657"/>
    <w:rsid w:val="00B96A81"/>
    <w:rsid w:val="00BA15C4"/>
    <w:rsid w:val="00BA215C"/>
    <w:rsid w:val="00BA2907"/>
    <w:rsid w:val="00BA2C8B"/>
    <w:rsid w:val="00BA320B"/>
    <w:rsid w:val="00BA3697"/>
    <w:rsid w:val="00BA3B9D"/>
    <w:rsid w:val="00BA3C31"/>
    <w:rsid w:val="00BA4C9A"/>
    <w:rsid w:val="00BA6361"/>
    <w:rsid w:val="00BA741E"/>
    <w:rsid w:val="00BA7BAA"/>
    <w:rsid w:val="00BB18C3"/>
    <w:rsid w:val="00BB1D68"/>
    <w:rsid w:val="00BB575B"/>
    <w:rsid w:val="00BC0359"/>
    <w:rsid w:val="00BC116B"/>
    <w:rsid w:val="00BC3C43"/>
    <w:rsid w:val="00BC6145"/>
    <w:rsid w:val="00BC6503"/>
    <w:rsid w:val="00BC766C"/>
    <w:rsid w:val="00BD129A"/>
    <w:rsid w:val="00BD1870"/>
    <w:rsid w:val="00BD321C"/>
    <w:rsid w:val="00BD5CE8"/>
    <w:rsid w:val="00BD625B"/>
    <w:rsid w:val="00BD65DF"/>
    <w:rsid w:val="00BD6FE4"/>
    <w:rsid w:val="00BD7CBB"/>
    <w:rsid w:val="00BE0A41"/>
    <w:rsid w:val="00BE1DFD"/>
    <w:rsid w:val="00BE265B"/>
    <w:rsid w:val="00BE2F0C"/>
    <w:rsid w:val="00BE39DA"/>
    <w:rsid w:val="00BE479E"/>
    <w:rsid w:val="00BE48E2"/>
    <w:rsid w:val="00BE59D2"/>
    <w:rsid w:val="00BE63F6"/>
    <w:rsid w:val="00BE737E"/>
    <w:rsid w:val="00BF09B4"/>
    <w:rsid w:val="00BF1EBB"/>
    <w:rsid w:val="00BF32E2"/>
    <w:rsid w:val="00BF336F"/>
    <w:rsid w:val="00BF46B4"/>
    <w:rsid w:val="00BF57F3"/>
    <w:rsid w:val="00BF726F"/>
    <w:rsid w:val="00C00805"/>
    <w:rsid w:val="00C01D47"/>
    <w:rsid w:val="00C02FDB"/>
    <w:rsid w:val="00C05A93"/>
    <w:rsid w:val="00C05AD0"/>
    <w:rsid w:val="00C05D84"/>
    <w:rsid w:val="00C05F9E"/>
    <w:rsid w:val="00C06DF4"/>
    <w:rsid w:val="00C07A34"/>
    <w:rsid w:val="00C104C9"/>
    <w:rsid w:val="00C12B47"/>
    <w:rsid w:val="00C12B9D"/>
    <w:rsid w:val="00C13AA9"/>
    <w:rsid w:val="00C143FF"/>
    <w:rsid w:val="00C14E7F"/>
    <w:rsid w:val="00C164F4"/>
    <w:rsid w:val="00C16668"/>
    <w:rsid w:val="00C17CAF"/>
    <w:rsid w:val="00C205AF"/>
    <w:rsid w:val="00C21DC5"/>
    <w:rsid w:val="00C2244E"/>
    <w:rsid w:val="00C23AD7"/>
    <w:rsid w:val="00C25EC8"/>
    <w:rsid w:val="00C3013B"/>
    <w:rsid w:val="00C30E5B"/>
    <w:rsid w:val="00C346F6"/>
    <w:rsid w:val="00C355DD"/>
    <w:rsid w:val="00C35690"/>
    <w:rsid w:val="00C35A19"/>
    <w:rsid w:val="00C42E8C"/>
    <w:rsid w:val="00C44D12"/>
    <w:rsid w:val="00C45C31"/>
    <w:rsid w:val="00C46322"/>
    <w:rsid w:val="00C46B9C"/>
    <w:rsid w:val="00C47718"/>
    <w:rsid w:val="00C506A7"/>
    <w:rsid w:val="00C50EBB"/>
    <w:rsid w:val="00C5295C"/>
    <w:rsid w:val="00C529C8"/>
    <w:rsid w:val="00C5345F"/>
    <w:rsid w:val="00C5552F"/>
    <w:rsid w:val="00C5737D"/>
    <w:rsid w:val="00C60192"/>
    <w:rsid w:val="00C60AF9"/>
    <w:rsid w:val="00C60BDB"/>
    <w:rsid w:val="00C61086"/>
    <w:rsid w:val="00C61143"/>
    <w:rsid w:val="00C67D09"/>
    <w:rsid w:val="00C71BB5"/>
    <w:rsid w:val="00C72227"/>
    <w:rsid w:val="00C726B7"/>
    <w:rsid w:val="00C73223"/>
    <w:rsid w:val="00C73E48"/>
    <w:rsid w:val="00C75008"/>
    <w:rsid w:val="00C76EB8"/>
    <w:rsid w:val="00C774F3"/>
    <w:rsid w:val="00C80037"/>
    <w:rsid w:val="00C8037A"/>
    <w:rsid w:val="00C80CD6"/>
    <w:rsid w:val="00C81C97"/>
    <w:rsid w:val="00C822F9"/>
    <w:rsid w:val="00C82E54"/>
    <w:rsid w:val="00C8438A"/>
    <w:rsid w:val="00C8450E"/>
    <w:rsid w:val="00C84CBF"/>
    <w:rsid w:val="00C850F9"/>
    <w:rsid w:val="00C86189"/>
    <w:rsid w:val="00C93409"/>
    <w:rsid w:val="00C93D78"/>
    <w:rsid w:val="00C93EC6"/>
    <w:rsid w:val="00C947BB"/>
    <w:rsid w:val="00C97454"/>
    <w:rsid w:val="00C979AD"/>
    <w:rsid w:val="00CA1E70"/>
    <w:rsid w:val="00CA1F41"/>
    <w:rsid w:val="00CA5016"/>
    <w:rsid w:val="00CA5A12"/>
    <w:rsid w:val="00CA5A1F"/>
    <w:rsid w:val="00CA7D96"/>
    <w:rsid w:val="00CB18E3"/>
    <w:rsid w:val="00CB2341"/>
    <w:rsid w:val="00CB4A8D"/>
    <w:rsid w:val="00CB59EC"/>
    <w:rsid w:val="00CB6034"/>
    <w:rsid w:val="00CC05FD"/>
    <w:rsid w:val="00CC1C0F"/>
    <w:rsid w:val="00CC38D6"/>
    <w:rsid w:val="00CC3EEA"/>
    <w:rsid w:val="00CC449D"/>
    <w:rsid w:val="00CC45C3"/>
    <w:rsid w:val="00CC51AF"/>
    <w:rsid w:val="00CC6E9D"/>
    <w:rsid w:val="00CC740E"/>
    <w:rsid w:val="00CC7E35"/>
    <w:rsid w:val="00CD004E"/>
    <w:rsid w:val="00CD04F9"/>
    <w:rsid w:val="00CD22DC"/>
    <w:rsid w:val="00CD301B"/>
    <w:rsid w:val="00CD3B12"/>
    <w:rsid w:val="00CD4942"/>
    <w:rsid w:val="00CD4BBB"/>
    <w:rsid w:val="00CD5215"/>
    <w:rsid w:val="00CD72A1"/>
    <w:rsid w:val="00CE09B0"/>
    <w:rsid w:val="00CE286E"/>
    <w:rsid w:val="00CE419E"/>
    <w:rsid w:val="00CE4285"/>
    <w:rsid w:val="00CE42F9"/>
    <w:rsid w:val="00CE4DC1"/>
    <w:rsid w:val="00CE702D"/>
    <w:rsid w:val="00CE7568"/>
    <w:rsid w:val="00CF08C5"/>
    <w:rsid w:val="00CF0E5C"/>
    <w:rsid w:val="00CF19E2"/>
    <w:rsid w:val="00CF312A"/>
    <w:rsid w:val="00CF46EF"/>
    <w:rsid w:val="00CF59B5"/>
    <w:rsid w:val="00CF5AF3"/>
    <w:rsid w:val="00CF7C0C"/>
    <w:rsid w:val="00CF7D8C"/>
    <w:rsid w:val="00CF7FE2"/>
    <w:rsid w:val="00D00D83"/>
    <w:rsid w:val="00D013E2"/>
    <w:rsid w:val="00D01B42"/>
    <w:rsid w:val="00D01D53"/>
    <w:rsid w:val="00D02805"/>
    <w:rsid w:val="00D05075"/>
    <w:rsid w:val="00D108B3"/>
    <w:rsid w:val="00D10DC9"/>
    <w:rsid w:val="00D11764"/>
    <w:rsid w:val="00D127A7"/>
    <w:rsid w:val="00D137EB"/>
    <w:rsid w:val="00D14DDD"/>
    <w:rsid w:val="00D1508F"/>
    <w:rsid w:val="00D151C1"/>
    <w:rsid w:val="00D15FBA"/>
    <w:rsid w:val="00D1732B"/>
    <w:rsid w:val="00D200AF"/>
    <w:rsid w:val="00D20B7A"/>
    <w:rsid w:val="00D21486"/>
    <w:rsid w:val="00D22E77"/>
    <w:rsid w:val="00D23C60"/>
    <w:rsid w:val="00D23CEF"/>
    <w:rsid w:val="00D245CC"/>
    <w:rsid w:val="00D33E81"/>
    <w:rsid w:val="00D358C3"/>
    <w:rsid w:val="00D35957"/>
    <w:rsid w:val="00D365EA"/>
    <w:rsid w:val="00D3680F"/>
    <w:rsid w:val="00D369FA"/>
    <w:rsid w:val="00D36A9B"/>
    <w:rsid w:val="00D40005"/>
    <w:rsid w:val="00D40E27"/>
    <w:rsid w:val="00D41795"/>
    <w:rsid w:val="00D418CC"/>
    <w:rsid w:val="00D45DB9"/>
    <w:rsid w:val="00D50214"/>
    <w:rsid w:val="00D5022D"/>
    <w:rsid w:val="00D50473"/>
    <w:rsid w:val="00D50A0C"/>
    <w:rsid w:val="00D520C9"/>
    <w:rsid w:val="00D52860"/>
    <w:rsid w:val="00D52CB8"/>
    <w:rsid w:val="00D5334E"/>
    <w:rsid w:val="00D53809"/>
    <w:rsid w:val="00D5422D"/>
    <w:rsid w:val="00D54342"/>
    <w:rsid w:val="00D547FC"/>
    <w:rsid w:val="00D552B5"/>
    <w:rsid w:val="00D55F19"/>
    <w:rsid w:val="00D57C47"/>
    <w:rsid w:val="00D602EF"/>
    <w:rsid w:val="00D613B8"/>
    <w:rsid w:val="00D6697B"/>
    <w:rsid w:val="00D66EDC"/>
    <w:rsid w:val="00D716A3"/>
    <w:rsid w:val="00D71B18"/>
    <w:rsid w:val="00D72AB8"/>
    <w:rsid w:val="00D748A6"/>
    <w:rsid w:val="00D748EB"/>
    <w:rsid w:val="00D76827"/>
    <w:rsid w:val="00D76CBC"/>
    <w:rsid w:val="00D77C7F"/>
    <w:rsid w:val="00D802CA"/>
    <w:rsid w:val="00D80783"/>
    <w:rsid w:val="00D807BB"/>
    <w:rsid w:val="00D813E2"/>
    <w:rsid w:val="00D8229C"/>
    <w:rsid w:val="00D8231C"/>
    <w:rsid w:val="00D823EE"/>
    <w:rsid w:val="00D82401"/>
    <w:rsid w:val="00D8241E"/>
    <w:rsid w:val="00D84F6E"/>
    <w:rsid w:val="00D85FD8"/>
    <w:rsid w:val="00D86E78"/>
    <w:rsid w:val="00D91F81"/>
    <w:rsid w:val="00D922A0"/>
    <w:rsid w:val="00D92656"/>
    <w:rsid w:val="00D93B06"/>
    <w:rsid w:val="00D942CB"/>
    <w:rsid w:val="00D945FF"/>
    <w:rsid w:val="00D9480E"/>
    <w:rsid w:val="00D969BD"/>
    <w:rsid w:val="00D97071"/>
    <w:rsid w:val="00DA0B89"/>
    <w:rsid w:val="00DA1751"/>
    <w:rsid w:val="00DA1C1D"/>
    <w:rsid w:val="00DA1FAC"/>
    <w:rsid w:val="00DA4997"/>
    <w:rsid w:val="00DA4AAD"/>
    <w:rsid w:val="00DA6D77"/>
    <w:rsid w:val="00DA7F3B"/>
    <w:rsid w:val="00DB02BD"/>
    <w:rsid w:val="00DB0608"/>
    <w:rsid w:val="00DB2384"/>
    <w:rsid w:val="00DB23DE"/>
    <w:rsid w:val="00DB24A5"/>
    <w:rsid w:val="00DB3D08"/>
    <w:rsid w:val="00DB6C58"/>
    <w:rsid w:val="00DB6D78"/>
    <w:rsid w:val="00DB70D0"/>
    <w:rsid w:val="00DB77D3"/>
    <w:rsid w:val="00DB79B5"/>
    <w:rsid w:val="00DB7B60"/>
    <w:rsid w:val="00DC038F"/>
    <w:rsid w:val="00DC0F57"/>
    <w:rsid w:val="00DC2764"/>
    <w:rsid w:val="00DC3368"/>
    <w:rsid w:val="00DC4331"/>
    <w:rsid w:val="00DC4916"/>
    <w:rsid w:val="00DC6E1B"/>
    <w:rsid w:val="00DC6FA9"/>
    <w:rsid w:val="00DD20B4"/>
    <w:rsid w:val="00DD5456"/>
    <w:rsid w:val="00DD5B3D"/>
    <w:rsid w:val="00DD6229"/>
    <w:rsid w:val="00DE140C"/>
    <w:rsid w:val="00DE2EE7"/>
    <w:rsid w:val="00DE4BAC"/>
    <w:rsid w:val="00DE4C63"/>
    <w:rsid w:val="00DE5747"/>
    <w:rsid w:val="00DE6A63"/>
    <w:rsid w:val="00DE78DD"/>
    <w:rsid w:val="00DE7C04"/>
    <w:rsid w:val="00DF0EF4"/>
    <w:rsid w:val="00DF21DE"/>
    <w:rsid w:val="00DF442D"/>
    <w:rsid w:val="00DF4997"/>
    <w:rsid w:val="00DF4A47"/>
    <w:rsid w:val="00DF5F88"/>
    <w:rsid w:val="00DF6744"/>
    <w:rsid w:val="00E00E09"/>
    <w:rsid w:val="00E023D7"/>
    <w:rsid w:val="00E03B1E"/>
    <w:rsid w:val="00E03B9C"/>
    <w:rsid w:val="00E05085"/>
    <w:rsid w:val="00E052E9"/>
    <w:rsid w:val="00E066BE"/>
    <w:rsid w:val="00E079EA"/>
    <w:rsid w:val="00E110A7"/>
    <w:rsid w:val="00E11BE3"/>
    <w:rsid w:val="00E13324"/>
    <w:rsid w:val="00E14252"/>
    <w:rsid w:val="00E14840"/>
    <w:rsid w:val="00E14F03"/>
    <w:rsid w:val="00E175F1"/>
    <w:rsid w:val="00E1785F"/>
    <w:rsid w:val="00E17BC1"/>
    <w:rsid w:val="00E2299D"/>
    <w:rsid w:val="00E24036"/>
    <w:rsid w:val="00E24148"/>
    <w:rsid w:val="00E25F67"/>
    <w:rsid w:val="00E30662"/>
    <w:rsid w:val="00E3160C"/>
    <w:rsid w:val="00E31B33"/>
    <w:rsid w:val="00E33F27"/>
    <w:rsid w:val="00E3451F"/>
    <w:rsid w:val="00E35563"/>
    <w:rsid w:val="00E36D25"/>
    <w:rsid w:val="00E3704A"/>
    <w:rsid w:val="00E37747"/>
    <w:rsid w:val="00E411AE"/>
    <w:rsid w:val="00E415D1"/>
    <w:rsid w:val="00E42289"/>
    <w:rsid w:val="00E42A2F"/>
    <w:rsid w:val="00E43B3E"/>
    <w:rsid w:val="00E44798"/>
    <w:rsid w:val="00E46195"/>
    <w:rsid w:val="00E47178"/>
    <w:rsid w:val="00E477B0"/>
    <w:rsid w:val="00E47A31"/>
    <w:rsid w:val="00E50700"/>
    <w:rsid w:val="00E50B79"/>
    <w:rsid w:val="00E51DA5"/>
    <w:rsid w:val="00E52E3A"/>
    <w:rsid w:val="00E53644"/>
    <w:rsid w:val="00E5425B"/>
    <w:rsid w:val="00E55133"/>
    <w:rsid w:val="00E5526B"/>
    <w:rsid w:val="00E55C1B"/>
    <w:rsid w:val="00E56767"/>
    <w:rsid w:val="00E578DC"/>
    <w:rsid w:val="00E61721"/>
    <w:rsid w:val="00E62574"/>
    <w:rsid w:val="00E66B26"/>
    <w:rsid w:val="00E670E0"/>
    <w:rsid w:val="00E67524"/>
    <w:rsid w:val="00E70A44"/>
    <w:rsid w:val="00E71E22"/>
    <w:rsid w:val="00E727B1"/>
    <w:rsid w:val="00E72FA7"/>
    <w:rsid w:val="00E77106"/>
    <w:rsid w:val="00E77224"/>
    <w:rsid w:val="00E8095C"/>
    <w:rsid w:val="00E80A39"/>
    <w:rsid w:val="00E835B8"/>
    <w:rsid w:val="00E844CC"/>
    <w:rsid w:val="00E84644"/>
    <w:rsid w:val="00E84F05"/>
    <w:rsid w:val="00E85642"/>
    <w:rsid w:val="00E875A8"/>
    <w:rsid w:val="00E87E90"/>
    <w:rsid w:val="00E94FC2"/>
    <w:rsid w:val="00E9556E"/>
    <w:rsid w:val="00EA0688"/>
    <w:rsid w:val="00EA1417"/>
    <w:rsid w:val="00EA221E"/>
    <w:rsid w:val="00EA443C"/>
    <w:rsid w:val="00EA56FA"/>
    <w:rsid w:val="00EA645D"/>
    <w:rsid w:val="00EA71CA"/>
    <w:rsid w:val="00EA7585"/>
    <w:rsid w:val="00EA7C78"/>
    <w:rsid w:val="00EB0E5E"/>
    <w:rsid w:val="00EB13EC"/>
    <w:rsid w:val="00EB1450"/>
    <w:rsid w:val="00EB232E"/>
    <w:rsid w:val="00EB24A7"/>
    <w:rsid w:val="00EB25FC"/>
    <w:rsid w:val="00EB2B97"/>
    <w:rsid w:val="00EB31A3"/>
    <w:rsid w:val="00EB3591"/>
    <w:rsid w:val="00EB4A7A"/>
    <w:rsid w:val="00EB5B85"/>
    <w:rsid w:val="00EB5EBE"/>
    <w:rsid w:val="00EB6022"/>
    <w:rsid w:val="00EB64C5"/>
    <w:rsid w:val="00EB6BC4"/>
    <w:rsid w:val="00EB762E"/>
    <w:rsid w:val="00EB7B71"/>
    <w:rsid w:val="00EC0E84"/>
    <w:rsid w:val="00EC151B"/>
    <w:rsid w:val="00EC1CD1"/>
    <w:rsid w:val="00EC40D0"/>
    <w:rsid w:val="00EC4E89"/>
    <w:rsid w:val="00EC5A95"/>
    <w:rsid w:val="00EC6B92"/>
    <w:rsid w:val="00EC71B6"/>
    <w:rsid w:val="00ED02D3"/>
    <w:rsid w:val="00ED0BC2"/>
    <w:rsid w:val="00ED0D13"/>
    <w:rsid w:val="00ED1072"/>
    <w:rsid w:val="00ED1525"/>
    <w:rsid w:val="00ED4E32"/>
    <w:rsid w:val="00ED5D31"/>
    <w:rsid w:val="00ED6630"/>
    <w:rsid w:val="00ED6CD0"/>
    <w:rsid w:val="00EE05A4"/>
    <w:rsid w:val="00EE068E"/>
    <w:rsid w:val="00EE10E8"/>
    <w:rsid w:val="00EE223A"/>
    <w:rsid w:val="00EE2BA3"/>
    <w:rsid w:val="00EE3021"/>
    <w:rsid w:val="00EE3446"/>
    <w:rsid w:val="00EE38DD"/>
    <w:rsid w:val="00EE6A63"/>
    <w:rsid w:val="00EE7919"/>
    <w:rsid w:val="00EF045D"/>
    <w:rsid w:val="00EF4CC9"/>
    <w:rsid w:val="00EF62D2"/>
    <w:rsid w:val="00EF64B3"/>
    <w:rsid w:val="00F00BB0"/>
    <w:rsid w:val="00F01158"/>
    <w:rsid w:val="00F01E58"/>
    <w:rsid w:val="00F038D2"/>
    <w:rsid w:val="00F0624A"/>
    <w:rsid w:val="00F06996"/>
    <w:rsid w:val="00F1257E"/>
    <w:rsid w:val="00F13524"/>
    <w:rsid w:val="00F13834"/>
    <w:rsid w:val="00F151C3"/>
    <w:rsid w:val="00F15428"/>
    <w:rsid w:val="00F1681E"/>
    <w:rsid w:val="00F16EE4"/>
    <w:rsid w:val="00F17735"/>
    <w:rsid w:val="00F17952"/>
    <w:rsid w:val="00F200E7"/>
    <w:rsid w:val="00F219FF"/>
    <w:rsid w:val="00F25E4A"/>
    <w:rsid w:val="00F26100"/>
    <w:rsid w:val="00F27677"/>
    <w:rsid w:val="00F27882"/>
    <w:rsid w:val="00F3090A"/>
    <w:rsid w:val="00F31541"/>
    <w:rsid w:val="00F318C2"/>
    <w:rsid w:val="00F323CE"/>
    <w:rsid w:val="00F32888"/>
    <w:rsid w:val="00F32ED1"/>
    <w:rsid w:val="00F33F4D"/>
    <w:rsid w:val="00F35A2A"/>
    <w:rsid w:val="00F35E26"/>
    <w:rsid w:val="00F40078"/>
    <w:rsid w:val="00F41EC7"/>
    <w:rsid w:val="00F4456B"/>
    <w:rsid w:val="00F45E11"/>
    <w:rsid w:val="00F4619E"/>
    <w:rsid w:val="00F46F9B"/>
    <w:rsid w:val="00F47E4A"/>
    <w:rsid w:val="00F51F70"/>
    <w:rsid w:val="00F523B8"/>
    <w:rsid w:val="00F53AFE"/>
    <w:rsid w:val="00F53FE0"/>
    <w:rsid w:val="00F5407C"/>
    <w:rsid w:val="00F61C2C"/>
    <w:rsid w:val="00F61C57"/>
    <w:rsid w:val="00F63364"/>
    <w:rsid w:val="00F63EF8"/>
    <w:rsid w:val="00F640E6"/>
    <w:rsid w:val="00F6508E"/>
    <w:rsid w:val="00F655F1"/>
    <w:rsid w:val="00F6575B"/>
    <w:rsid w:val="00F6646E"/>
    <w:rsid w:val="00F6793E"/>
    <w:rsid w:val="00F70E59"/>
    <w:rsid w:val="00F7290A"/>
    <w:rsid w:val="00F739F7"/>
    <w:rsid w:val="00F74741"/>
    <w:rsid w:val="00F74744"/>
    <w:rsid w:val="00F74985"/>
    <w:rsid w:val="00F767E2"/>
    <w:rsid w:val="00F80C11"/>
    <w:rsid w:val="00F82AAA"/>
    <w:rsid w:val="00F853BB"/>
    <w:rsid w:val="00F85D28"/>
    <w:rsid w:val="00F86681"/>
    <w:rsid w:val="00F8701C"/>
    <w:rsid w:val="00F87739"/>
    <w:rsid w:val="00F90928"/>
    <w:rsid w:val="00F90A8F"/>
    <w:rsid w:val="00F92BCE"/>
    <w:rsid w:val="00F92D83"/>
    <w:rsid w:val="00F939E1"/>
    <w:rsid w:val="00F9539E"/>
    <w:rsid w:val="00F962DF"/>
    <w:rsid w:val="00F97DD8"/>
    <w:rsid w:val="00FA27DC"/>
    <w:rsid w:val="00FA397C"/>
    <w:rsid w:val="00FA3AF5"/>
    <w:rsid w:val="00FA6FBA"/>
    <w:rsid w:val="00FA70E9"/>
    <w:rsid w:val="00FA7BCA"/>
    <w:rsid w:val="00FA7D11"/>
    <w:rsid w:val="00FB093C"/>
    <w:rsid w:val="00FB1F3C"/>
    <w:rsid w:val="00FB2782"/>
    <w:rsid w:val="00FB2A8A"/>
    <w:rsid w:val="00FB2DC5"/>
    <w:rsid w:val="00FB450C"/>
    <w:rsid w:val="00FB50A8"/>
    <w:rsid w:val="00FB6E0A"/>
    <w:rsid w:val="00FB7942"/>
    <w:rsid w:val="00FB7D52"/>
    <w:rsid w:val="00FC21C7"/>
    <w:rsid w:val="00FC2291"/>
    <w:rsid w:val="00FC2E06"/>
    <w:rsid w:val="00FC4C37"/>
    <w:rsid w:val="00FC4E9A"/>
    <w:rsid w:val="00FC529A"/>
    <w:rsid w:val="00FC6A41"/>
    <w:rsid w:val="00FC76C5"/>
    <w:rsid w:val="00FD01FC"/>
    <w:rsid w:val="00FD05C9"/>
    <w:rsid w:val="00FD0947"/>
    <w:rsid w:val="00FD12C2"/>
    <w:rsid w:val="00FD16C4"/>
    <w:rsid w:val="00FD21FC"/>
    <w:rsid w:val="00FD2290"/>
    <w:rsid w:val="00FD35CF"/>
    <w:rsid w:val="00FD442D"/>
    <w:rsid w:val="00FD5F13"/>
    <w:rsid w:val="00FD6848"/>
    <w:rsid w:val="00FE4031"/>
    <w:rsid w:val="00FF0CC2"/>
    <w:rsid w:val="00FF143F"/>
    <w:rsid w:val="00FF3663"/>
    <w:rsid w:val="00FF389A"/>
    <w:rsid w:val="00FF3AFA"/>
    <w:rsid w:val="00FF3C9F"/>
    <w:rsid w:val="00FF45D5"/>
    <w:rsid w:val="00FF5220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9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1C93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5"/>
      <w:szCs w:val="15"/>
      <w:lang w:eastAsia="ru-RU"/>
    </w:rPr>
  </w:style>
  <w:style w:type="character" w:styleId="a5">
    <w:name w:val="Strong"/>
    <w:basedOn w:val="a0"/>
    <w:uiPriority w:val="22"/>
    <w:qFormat/>
    <w:rsid w:val="00041C93"/>
    <w:rPr>
      <w:b/>
      <w:bCs/>
    </w:rPr>
  </w:style>
  <w:style w:type="character" w:styleId="a6">
    <w:name w:val="Emphasis"/>
    <w:basedOn w:val="a0"/>
    <w:uiPriority w:val="20"/>
    <w:qFormat/>
    <w:rsid w:val="00041C9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181">
              <w:marLeft w:val="0"/>
              <w:marRight w:val="0"/>
              <w:marTop w:val="20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871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49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4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228">
                  <w:marLeft w:val="0"/>
                  <w:marRight w:val="0"/>
                  <w:marTop w:val="0"/>
                  <w:marBottom w:val="0"/>
                  <w:divBdr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divBdr>
                </w:div>
                <w:div w:id="159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748">
                  <w:marLeft w:val="-2655"/>
                  <w:marRight w:val="0"/>
                  <w:marTop w:val="626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3524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7113">
                  <w:marLeft w:val="0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5923">
                  <w:marLeft w:val="0"/>
                  <w:marRight w:val="125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590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172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430">
              <w:marLeft w:val="0"/>
              <w:marRight w:val="0"/>
              <w:marTop w:val="10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0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984">
                      <w:marLeft w:val="0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906">
                      <w:marLeft w:val="0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7948">
                      <w:marLeft w:val="0"/>
                      <w:marRight w:val="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ukrcardio.org/journal.php/article/823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2442</Words>
  <Characters>13924</Characters>
  <Application>Microsoft Office Word</Application>
  <DocSecurity>0</DocSecurity>
  <Lines>116</Lines>
  <Paragraphs>32</Paragraphs>
  <ScaleCrop>false</ScaleCrop>
  <Company>Microsoft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2013-07-11T09:16:00Z</dcterms:created>
  <dcterms:modified xsi:type="dcterms:W3CDTF">2013-07-11T09:18:00Z</dcterms:modified>
</cp:coreProperties>
</file>