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F" w:rsidRPr="00950BE9" w:rsidRDefault="00F067BF" w:rsidP="00F067B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50BE9">
        <w:rPr>
          <w:rFonts w:ascii="Times New Roman" w:hAnsi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4pt;margin-top:21.3pt;width:477.75pt;height:0;z-index:251660288" o:connectortype="straight">
            <v:shadow on="t" opacity=".5" offset="6pt,6pt"/>
          </v:shape>
        </w:pict>
      </w:r>
      <w:r w:rsidRPr="00950BE9">
        <w:rPr>
          <w:rFonts w:ascii="Times New Roman" w:hAnsi="Times New Roman"/>
          <w:b/>
          <w:sz w:val="26"/>
          <w:szCs w:val="26"/>
          <w:lang w:val="uk-UA"/>
        </w:rPr>
        <w:t>5.1. Фінансовий аналіз</w:t>
      </w:r>
    </w:p>
    <w:p w:rsidR="00F067BF" w:rsidRPr="00950BE9" w:rsidRDefault="00F067BF" w:rsidP="00F067BF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F067BF" w:rsidRPr="00950BE9" w:rsidRDefault="00F067BF" w:rsidP="00F067BF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F067BF" w:rsidRPr="00950BE9" w:rsidRDefault="00F067BF" w:rsidP="00F067B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50BE9">
        <w:rPr>
          <w:rFonts w:ascii="Times New Roman" w:hAnsi="Times New Roman"/>
          <w:b/>
          <w:sz w:val="26"/>
          <w:szCs w:val="26"/>
          <w:lang w:val="uk-UA"/>
        </w:rPr>
        <w:t>5.1.1. Підготовка фінансової моделі прогнозних показників руху грошових потоків комерційних учасників Проекту</w:t>
      </w:r>
    </w:p>
    <w:p w:rsidR="00F067BF" w:rsidRPr="00950BE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Для створення туристичної інфраструктури Міжнародного реабілітаційного містечка «InterMedicalEcoCity» необхідне залучення коштів приватних інвесторів, які і стануть комерційними учасниками проекту. Для оцінки прогнозних показників руху грошових потоків представлено фінансові моделі руху коштів при створенні та експлуатації основних об’єктів інфраструктури, будівництво якої передбачається за рахунок приватних інвестицій.</w:t>
      </w:r>
    </w:p>
    <w:p w:rsidR="00F067BF" w:rsidRPr="00950BE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Проектом передбачається створення наступних об’єктів комерційними учасниками за виокремленими функціональніми зонами.</w:t>
      </w:r>
    </w:p>
    <w:p w:rsidR="00F067BF" w:rsidRPr="00950BE9" w:rsidRDefault="00F067BF" w:rsidP="00F067BF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 xml:space="preserve">Оздоровча зона: </w:t>
      </w:r>
    </w:p>
    <w:p w:rsidR="00F067BF" w:rsidRPr="00950BE9" w:rsidRDefault="00F067BF" w:rsidP="00F067BF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клініка (ІІ черга);</w:t>
      </w:r>
    </w:p>
    <w:p w:rsidR="00F067BF" w:rsidRPr="00950BE9" w:rsidRDefault="00F067BF" w:rsidP="00F067BF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>Оздоровчо-рекреаційна зона:</w:t>
      </w:r>
    </w:p>
    <w:p w:rsidR="00F067BF" w:rsidRPr="00950BE9" w:rsidRDefault="00F067BF" w:rsidP="00F067B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курортні готелі, санаторії для дітей з батьками, пансіонати, міні-пансіонати, розважальні центри, етнокомплекси, басейни, коледж;</w:t>
      </w:r>
    </w:p>
    <w:p w:rsidR="00F067BF" w:rsidRPr="00950BE9" w:rsidRDefault="00F067BF" w:rsidP="00F067BF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>Парково-громадська зона:</w:t>
      </w:r>
    </w:p>
    <w:p w:rsidR="00F067BF" w:rsidRPr="00950BE9" w:rsidRDefault="00F067BF" w:rsidP="00F067BF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аквапарк, універсальний розважальний центр, спортивний центр, торгово-виставкові центри, тематичні парки.</w:t>
      </w:r>
    </w:p>
    <w:p w:rsidR="00F067BF" w:rsidRPr="00950BE9" w:rsidRDefault="00F067BF" w:rsidP="00F067BF">
      <w:pPr>
        <w:spacing w:after="0" w:line="360" w:lineRule="auto"/>
        <w:ind w:left="106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F067BF" w:rsidRPr="00950BE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 xml:space="preserve">Фінансові моделі прогнозних показників руху грошових потоків для кожного із комерційних учасників Проекту окремо представлено в таблицях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50BE9">
        <w:rPr>
          <w:rFonts w:ascii="Times New Roman" w:hAnsi="Times New Roman"/>
          <w:sz w:val="26"/>
          <w:szCs w:val="26"/>
          <w:lang w:val="uk-UA"/>
        </w:rPr>
        <w:t xml:space="preserve">.1 –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50BE9">
        <w:rPr>
          <w:rFonts w:ascii="Times New Roman" w:hAnsi="Times New Roman"/>
          <w:sz w:val="26"/>
          <w:szCs w:val="26"/>
          <w:lang w:val="uk-UA"/>
        </w:rPr>
        <w:t>.15.</w:t>
      </w:r>
    </w:p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5C4459">
          <w:headerReference w:type="default" r:id="rId5"/>
          <w:pgSz w:w="11906" w:h="16838"/>
          <w:pgMar w:top="1134" w:right="851" w:bottom="1134" w:left="1701" w:header="709" w:footer="709" w:gutter="0"/>
          <w:pgNumType w:start="358"/>
          <w:cols w:space="708"/>
          <w:docGrid w:linePitch="360"/>
        </w:sectPr>
      </w:pPr>
    </w:p>
    <w:p w:rsidR="00F067BF" w:rsidRPr="00950BE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lastRenderedPageBreak/>
        <w:t>Таблиця 5.1 – Фінансова модель прогнозних показників руху грошових коштів проекту клініки (ІІ черга)</w:t>
      </w:r>
    </w:p>
    <w:tbl>
      <w:tblPr>
        <w:tblW w:w="5000" w:type="pct"/>
        <w:tblLook w:val="0000"/>
      </w:tblPr>
      <w:tblGrid>
        <w:gridCol w:w="2769"/>
        <w:gridCol w:w="1100"/>
        <w:gridCol w:w="816"/>
        <w:gridCol w:w="1082"/>
        <w:gridCol w:w="893"/>
        <w:gridCol w:w="988"/>
        <w:gridCol w:w="893"/>
        <w:gridCol w:w="893"/>
        <w:gridCol w:w="893"/>
        <w:gridCol w:w="893"/>
        <w:gridCol w:w="893"/>
        <w:gridCol w:w="893"/>
        <w:gridCol w:w="893"/>
        <w:gridCol w:w="887"/>
      </w:tblGrid>
      <w:tr w:rsidR="00F067BF" w:rsidRPr="006F5CBA" w:rsidTr="00865CE5">
        <w:trPr>
          <w:trHeight w:val="255"/>
        </w:trPr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  <w:br w:type="page"/>
            </w: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Показник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Нормативні ставки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Од. виміру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2025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</w:tr>
      <w:tr w:rsidR="00F067BF" w:rsidRPr="006F5CBA" w:rsidTr="00865CE5">
        <w:trPr>
          <w:trHeight w:val="30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Клініка - ІІ черга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Інвестиції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276,5846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51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Завантаження ІІ черги будівнитцва за роками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0,4889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з ПДВ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146,06218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193,517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251,0893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282,469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333,8271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359,5061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385,1851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410,8641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410,8641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без ПДВ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124,83947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165,3991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214,6062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241,4265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285,3223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307,2701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329,218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351,1659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351,1659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витрати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30,349636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55,641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Амортизація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Прибуток до оподаткування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73,588563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88,85686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107,7143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134,5346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178,4304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200,3782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222,3261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244,274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244,274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 xml:space="preserve">Податок на прибуток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11,77417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14,2171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17,23429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21,52554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28,54886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32,06052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35,57218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39,08384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39,08384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прибуток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61,814393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74,63976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90,48005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113,0091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149,8815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168,3177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186,7539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205,1901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205,1901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Грошовий потік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61,814393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95,54103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111,3813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133,9104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170,7828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189,219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207,6552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226,0914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226,0914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17,0%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0,854701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0,7305136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0,624371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0,456111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0,389839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0,333195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0,284782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0,243404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0,208037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грошовий потік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-236,397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45,156252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59,65301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59,43864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61,07801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66,57772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63,04689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59,13654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55,03149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47,03546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Накоплений ДГП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-512,982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-467,82552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-408,173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-348,734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-287,656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-221,078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-158,031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-98,8947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-43,8632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3,172245</w:t>
            </w:r>
          </w:p>
        </w:tc>
      </w:tr>
      <w:tr w:rsidR="00F067BF" w:rsidRPr="006F5CBA" w:rsidTr="00865CE5">
        <w:trPr>
          <w:trHeight w:val="28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дисконтований дохід (ЧДД)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3,17224514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Індекс прибутковості (ІД)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1,00618393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Термін окупності (ТО)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років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10,9325563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51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Внутрішня норма дохідності (ВНД)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17,13%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0,847458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0,7181844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0,608631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0,515789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0,437109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0,370432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0,313925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0,266038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0,225456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0,191064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дохід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-234,394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44,394135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58,14922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57,44924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58,53345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63,26333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59,40058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55,24421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50,97368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43,19803</w:t>
            </w:r>
          </w:p>
        </w:tc>
      </w:tr>
      <w:tr w:rsidR="00F067BF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ЧДД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-20,3725308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6255D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B6108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5.2 – Фінансова модель прогнозних показників руху грошових коштів проекту курортного готелю</w:t>
      </w:r>
    </w:p>
    <w:tbl>
      <w:tblPr>
        <w:tblW w:w="5546" w:type="pct"/>
        <w:tblInd w:w="-792" w:type="dxa"/>
        <w:tblLook w:val="0000"/>
      </w:tblPr>
      <w:tblGrid>
        <w:gridCol w:w="2159"/>
        <w:gridCol w:w="1025"/>
        <w:gridCol w:w="683"/>
        <w:gridCol w:w="1030"/>
        <w:gridCol w:w="816"/>
        <w:gridCol w:w="89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F067BF" w:rsidRPr="006F5CBA" w:rsidTr="00865CE5">
        <w:trPr>
          <w:trHeight w:val="255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Показник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Нормативні ставки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Од. виміру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2034</w:t>
            </w:r>
          </w:p>
        </w:tc>
      </w:tr>
      <w:tr w:rsidR="00F067BF" w:rsidRPr="006F5CBA" w:rsidTr="00865CE5">
        <w:trPr>
          <w:trHeight w:val="51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</w:tr>
      <w:tr w:rsidR="00F067BF" w:rsidRPr="006F5CBA" w:rsidTr="00865CE5">
        <w:trPr>
          <w:trHeight w:val="300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Курортний готель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Інвестиції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345,6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з ПДВ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110,16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201,96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без ПДВ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94,153846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172,6154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витрати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4,3268471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7,932553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Амортизація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Прибуток до оподаткування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55,266999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130,1228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 xml:space="preserve">Податок на прибуток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8,8427198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20,81965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прибуток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46,424279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109,3032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Грошовий потік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80,984279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143,8632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0,854701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0,7305136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0,624371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0,53365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0,456111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0,389839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0,333195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0,284782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0,243404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0,208037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0,17781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0,151974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0,129892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0,111019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грошовий потік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-295,385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59,160113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89,82393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117,039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100,0333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85,49856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73,0757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62,45786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53,38279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45,62631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38,99685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33,33064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28,48773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24,34848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Накоплений ДГП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-640,985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-581,8245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-492,001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-374,962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-274,928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-189,43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-116,354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-53,8961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-0,51336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45,11296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84,10981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117,4404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145,9282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170,2767</w:t>
            </w:r>
          </w:p>
        </w:tc>
      </w:tr>
      <w:tr w:rsidR="00F067BF" w:rsidRPr="006F5CBA" w:rsidTr="00865CE5">
        <w:trPr>
          <w:trHeight w:val="28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дисконтований дохід (ЧДД)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170,276658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Індекс прибутковості (ІД)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1,26564859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Термін окупності (ТО)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років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10,0096165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300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Внутрішня норма дохідності (ВНД)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21,68%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0,813008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0,6609822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0,537384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0,436897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0,355201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0,288781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0,234782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0,190879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0,155187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0,126168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0,102576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0,083395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0,067801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0,055122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дохід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-280,976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53,529169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77,30976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95,81942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77,90197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63,33493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51,49182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41,86327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34,03518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27,67087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22,49665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18,28996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14,86988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12,08934</w:t>
            </w:r>
          </w:p>
        </w:tc>
      </w:tr>
      <w:tr w:rsidR="00F067BF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ЧДД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-47,9627394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B6108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5.3 - Фінансова модель прогнозних показників руху грошових коштів проекту санаторію для дітей з батьками</w:t>
      </w:r>
    </w:p>
    <w:tbl>
      <w:tblPr>
        <w:tblW w:w="5540" w:type="pct"/>
        <w:tblInd w:w="-792" w:type="dxa"/>
        <w:tblLook w:val="0000"/>
      </w:tblPr>
      <w:tblGrid>
        <w:gridCol w:w="1939"/>
        <w:gridCol w:w="823"/>
        <w:gridCol w:w="567"/>
        <w:gridCol w:w="786"/>
        <w:gridCol w:w="666"/>
        <w:gridCol w:w="7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846"/>
        <w:gridCol w:w="666"/>
        <w:gridCol w:w="666"/>
      </w:tblGrid>
      <w:tr w:rsidR="00F067BF" w:rsidRPr="006F5CBA" w:rsidTr="00865CE5">
        <w:trPr>
          <w:trHeight w:val="255"/>
        </w:trPr>
        <w:tc>
          <w:tcPr>
            <w:tcW w:w="59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Показник</w:t>
            </w:r>
          </w:p>
        </w:tc>
        <w:tc>
          <w:tcPr>
            <w:tcW w:w="2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Нормативні ставки</w:t>
            </w:r>
          </w:p>
        </w:tc>
        <w:tc>
          <w:tcPr>
            <w:tcW w:w="1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Од. виміру</w:t>
            </w:r>
          </w:p>
        </w:tc>
        <w:tc>
          <w:tcPr>
            <w:tcW w:w="2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2021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2022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2023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2024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2025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2026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2027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2028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2029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2031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2032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2033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2034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2035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2036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2037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2038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19</w:t>
            </w:r>
          </w:p>
        </w:tc>
      </w:tr>
      <w:tr w:rsidR="00F067BF" w:rsidRPr="006F5CBA" w:rsidTr="00865CE5">
        <w:trPr>
          <w:trHeight w:val="30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Санаторій для дітей з батьками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Інвестиції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489,6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489,6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Операційні доходи з ПДВ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324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594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918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Операційні доходи без ПДВ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17%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276,9231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507,6923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784,6153846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784,6154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Операційні витрати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41,99813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76,99658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118,9947072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118,9947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Амортизація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97,92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Прибуток до оподаткування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137,0049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332,7757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567,7006775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567,7007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 xml:space="preserve">Податок на прибуток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16%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21,92079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53,24412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90,83210839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90,83211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Чистий прибуток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115,0842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279,5316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476,8685691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476,8686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Грошовий потік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-489,6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-489,6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213,0042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377,4516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574,7885691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574,7886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Коефіцієнт дисконтування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17,0%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0,854701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0,7305136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0,624371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0,53365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0,456111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0,389839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0,333195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0,284782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0,243404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0,208037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0,17781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0,151974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0,129892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0,111019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0,094888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0,069317094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0,059245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0,050637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Дисконтований грошовий потік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-418,462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-357,65943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132,9935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201,4271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262,1675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224,0748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191,5169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163,6897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139,9057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119,5775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102,203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87,35299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74,66068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63,81254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54,54064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39,84267354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34,05357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29,10561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Накоплений ДГП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-1397,66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-1755,321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-1622,33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-1420,9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-1158,73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-934,658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-743,141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-579,452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-439,546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-319,968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-217,765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-130,412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-55,7517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8,06082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62,60146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102,4441293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136,4977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165,6033</w:t>
            </w:r>
          </w:p>
        </w:tc>
      </w:tr>
      <w:tr w:rsidR="00F067BF" w:rsidRPr="006F5CBA" w:rsidTr="00865CE5">
        <w:trPr>
          <w:trHeight w:val="33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Чистий дисконтований дохід (ЧДД)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165,603309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Індекс прибутковості (ІД)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1,09434361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Термін окупності (ТО)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років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14,8736797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Внутрішня норма дохідності (ВНД)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%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18,47%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Коефіцієнт дисконтування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19%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0,840336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0,7061648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0,593416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0,498669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0,419049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0,352142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0,295918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0,248671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0,208967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0,175602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0,147565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0,124004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0,104205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0,087567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0,073586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0,05196389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0,043667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0,036695</w:t>
            </w:r>
          </w:p>
        </w:tc>
      </w:tr>
      <w:tr w:rsidR="00F067BF" w:rsidRPr="006F5CBA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Дисконтований дохід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-411,429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-345,7383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126,4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188,2233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240,8648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202,4074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170,0902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142,933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120,1117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100,9342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84,81869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71,27621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59,89597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50,33275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42,29643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29,86825008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25,09937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21,09191</w:t>
            </w:r>
          </w:p>
        </w:tc>
      </w:tr>
      <w:tr w:rsidR="00F067BF" w:rsidRPr="006F5CBA" w:rsidTr="00865CE5">
        <w:trPr>
          <w:trHeight w:val="27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ЧДД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-59,722564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6F5CBA">
              <w:rPr>
                <w:rFonts w:ascii="Times New Roman" w:eastAsia="Times New Roman" w:hAnsi="Times New Roman"/>
                <w:sz w:val="12"/>
                <w:szCs w:val="12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B6108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5.4 - Фінансова модель прогнозних показників руху грошових коштів проекту розважального центру</w:t>
      </w:r>
    </w:p>
    <w:tbl>
      <w:tblPr>
        <w:tblW w:w="5000" w:type="pct"/>
        <w:tblLook w:val="0000"/>
      </w:tblPr>
      <w:tblGrid>
        <w:gridCol w:w="3557"/>
        <w:gridCol w:w="1339"/>
        <w:gridCol w:w="1046"/>
        <w:gridCol w:w="1331"/>
        <w:gridCol w:w="1056"/>
        <w:gridCol w:w="1180"/>
        <w:gridCol w:w="1056"/>
        <w:gridCol w:w="1056"/>
        <w:gridCol w:w="1056"/>
        <w:gridCol w:w="1056"/>
        <w:gridCol w:w="1053"/>
      </w:tblGrid>
      <w:tr w:rsidR="00F067BF" w:rsidRPr="006F5CBA" w:rsidTr="00865CE5">
        <w:trPr>
          <w:trHeight w:val="255"/>
        </w:trPr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</w:tr>
      <w:tr w:rsidR="00F067BF" w:rsidRPr="006F5CBA" w:rsidTr="00865CE5">
        <w:trPr>
          <w:trHeight w:val="3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Розважальний центр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46,15385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84,615385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0,286658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0,5255391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39,36719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77,589846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6,29875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12,414375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33,06844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65,17547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39,56844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71,67547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32,16946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47,376211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59,22181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48,14781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39,14456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31,82485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25,87386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-97,8305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-50,454327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8,767482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56,91529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96,05986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127,8847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153,7586</w:t>
            </w:r>
          </w:p>
        </w:tc>
      </w:tr>
      <w:tr w:rsidR="00F067BF" w:rsidRPr="006F5CBA" w:rsidTr="00865CE5">
        <w:trPr>
          <w:trHeight w:val="27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153,758562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2,18275817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3,85195518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3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54,88%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0,645161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0,4162331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0,268537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0,17325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0,111774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0,072112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0,046524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25,52802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29,833703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29,59388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19,09283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12,31795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7,947066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5,127139</w:t>
            </w:r>
          </w:p>
        </w:tc>
      </w:tr>
      <w:tr w:rsidR="00F067BF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-0,55941054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5.5 - Фінансова модель прогнозних показників руху грошових коштів проекту пансіонату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Пансіонат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136,8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136,8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127,224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233,244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108,7385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199,3538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6,850062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12,55845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74,5284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159,4354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11,92454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25,50966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62,60386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133,9257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-136,8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-136,8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89,96386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161,2857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0,243404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-116,923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-99,934254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56,17078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86,07014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112,6011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96,24023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82,25661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70,30479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60,08957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-390,523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-490,45733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-434,287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-348,216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-235,615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-139,375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-57,1185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13,18629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73,27586</w:t>
            </w:r>
          </w:p>
        </w:tc>
      </w:tr>
      <w:tr w:rsidR="00F067BF" w:rsidRPr="006F5CBA" w:rsidTr="00865CE5">
        <w:trPr>
          <w:trHeight w:val="39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73,2758559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1,14940312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8,81244109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20,89%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0,787402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0,6200012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0,48819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0,384402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0,302678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0,238329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0,187661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0,147765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0,11635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-107,717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-84,81617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43,91945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61,99848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74,72281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58,83686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46,32824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36,47893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28,72356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-115,124366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5.6 - Фінансова модель прогнозних показників руху грошових коштів проекту міні-пансіонату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Міні-пансіонат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95,04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174,24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81,23077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148,92308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5,735503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10,515088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52,45527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115,36799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8,392843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18,458878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44,06242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96,909111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67,10242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119,94911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57,3525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87,624451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114,4878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97,85281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83,63488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71,48281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61,09642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52,21916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44,63176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-403,448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-315,82305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-201,335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-103,482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-19,8476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51,63524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112,7317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164,9508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209,5826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209,582575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1,4548233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6,27765507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27,67%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0,78125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0,6103516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0,476837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0,372529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0,291038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0,227374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0,177636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0,138778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0,10842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52,42377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73,211127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87,43531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68,30884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53,36628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41,6924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32,57219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25,44702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19,88049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-6,46257325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5.7 - Фінансова модель прогнозних показників руху грошових коштів проекту молодіжного табору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Молодіжний табір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-80,64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27,2307692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20,8243269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18,39695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15,723891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13,43922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11,48652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9,817535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8,391055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7,171842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6,12978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5,239128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-40,7186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-24,994722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-11,5555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-0,06898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9,748552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18,13961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25,31145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31,44123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36,68036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25,3114491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1,62048559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5,0070265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33,84%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0,740741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0,5486968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0,406442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0,301068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0,223014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0,165195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0,122367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0,090642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0,067142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15,94403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11,810389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8,748437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6,480323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4,80024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3,555733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2,633876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1,951019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1,4452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-1,74632265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5.8 - Фінансова модель прогнозних показників руху грошових коштів проекту етнокомплексу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Етнокомплекси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133,65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62,30769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114,23077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5,377649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9,8590237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39,65004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87,091746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6,344007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13,934679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33,30604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73,157066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50,58604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90,437066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43,23593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66,065502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86,32441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73,78155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63,06115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53,89842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46,06703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39,37353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33,65259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-302,364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-236,29857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-149,974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-76,1926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-13,1315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40,76697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86,834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126,2075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159,8601</w:t>
            </w:r>
          </w:p>
        </w:tc>
      </w:tr>
      <w:tr w:rsidR="00F067BF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159,860112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1,46255819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6,24363334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28,05%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39,21398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54,345932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64,40537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49,92664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38,70283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30,00219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23,25751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18,02908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13,97603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-13,7404342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5.9 - Фінансова модель прогнозних показників руху грошових коштів проекту басейнів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Басейни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17,2307692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28,71795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1,73690783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3,184331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9,6438614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19,68362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1,54301782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3,149379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8,10084358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16,53424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22,38424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18,19857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24,992657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20,31923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16,5197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13,43065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10,91923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8,877422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7,217416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5,867818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-84,8506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-59,857932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-39,5387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-23,019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-9,58835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1,330884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10,20831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17,42572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23,29354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23,29354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1,226043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6,8781156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29,62%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17,35212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22,721826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17,61382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13,65412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10,58459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8,20511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6,36055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4,930659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3,822216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2,19585955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5.10 - Фінансова модель прогнозних показників руху грошових коштів проекту коледжу</w:t>
      </w:r>
    </w:p>
    <w:tbl>
      <w:tblPr>
        <w:tblW w:w="5000" w:type="pct"/>
        <w:tblLook w:val="0000"/>
      </w:tblPr>
      <w:tblGrid>
        <w:gridCol w:w="4664"/>
        <w:gridCol w:w="2046"/>
        <w:gridCol w:w="1372"/>
        <w:gridCol w:w="1745"/>
        <w:gridCol w:w="1597"/>
        <w:gridCol w:w="1768"/>
        <w:gridCol w:w="1594"/>
      </w:tblGrid>
      <w:tr w:rsidR="00F067BF" w:rsidRPr="006F5CBA" w:rsidTr="00865CE5">
        <w:trPr>
          <w:trHeight w:val="255"/>
        </w:trPr>
        <w:tc>
          <w:tcPr>
            <w:tcW w:w="157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Показник</w:t>
            </w:r>
          </w:p>
        </w:tc>
        <w:tc>
          <w:tcPr>
            <w:tcW w:w="6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Нормативні ставки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Од. виміру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F067BF" w:rsidRPr="006F5CBA" w:rsidTr="00865CE5">
        <w:trPr>
          <w:trHeight w:val="300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Коледж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Інвестиції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з ПДВ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без ПДВ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витрати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4,776556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4,7356509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4,735651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Фонд розвитку коледжу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0,223444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0,2643491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0,264349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Прибуток до оподаткування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F067BF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Податок на прибуток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F067BF" w:rsidRPr="006F5CBA" w:rsidTr="00865CE5">
        <w:trPr>
          <w:trHeight w:val="270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прибуток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5.11 - Фінансова модель прогнозних показників руху грошових коштів проекту аквапарку</w:t>
      </w:r>
    </w:p>
    <w:tbl>
      <w:tblPr>
        <w:tblW w:w="0" w:type="auto"/>
        <w:tblInd w:w="93" w:type="dxa"/>
        <w:tblLook w:val="0000"/>
      </w:tblPr>
      <w:tblGrid>
        <w:gridCol w:w="3484"/>
        <w:gridCol w:w="1769"/>
        <w:gridCol w:w="1108"/>
        <w:gridCol w:w="1436"/>
        <w:gridCol w:w="1116"/>
        <w:gridCol w:w="1316"/>
        <w:gridCol w:w="1116"/>
        <w:gridCol w:w="1116"/>
        <w:gridCol w:w="1116"/>
        <w:gridCol w:w="1116"/>
      </w:tblGrid>
      <w:tr w:rsidR="00F067BF" w:rsidRPr="006F5CBA" w:rsidTr="00865CE5">
        <w:trPr>
          <w:trHeight w:val="25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Нормативні ставки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Од. виміру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F067BF" w:rsidRPr="006F5CBA" w:rsidTr="00865CE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Аквапарк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Інвестиції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з ПДВ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без ПДВ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33,333333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витрати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0,791438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1,4509691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Амортизація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Прибуток до оподаткування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17,6261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30,299904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Податок на прибуток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2,820176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4,8479847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прибуток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14,80593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25,45192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16,38839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27,03438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Коефіцієнт дисконтування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0,813008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0,6609822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0,537384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0,436897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0,355201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0,288781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Дисконтований 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13,32389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17,869244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24,70331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20,08399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16,32845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13,27516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Накоплений ДГП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-18,3253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-0,4560648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24,24724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44,33123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60,65968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73,93484</w:t>
            </w:r>
          </w:p>
        </w:tc>
      </w:tr>
      <w:tr w:rsidR="00F067BF" w:rsidRPr="006F5CBA" w:rsidTr="00865CE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дисконтований дохід (ЧДД)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73,9348433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Індекс прибутковості (ІД)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3,33607305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Термін окупності (ТО)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років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3,01846169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Внутрішня норма дохідності (ВНД)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84,63%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Коефіцієнт дисконтування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0,540541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0,2921841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0,157937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0,085372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0,046147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0,024944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Дисконтований дохід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8,858587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7,8990152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7,260312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3,924493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2,121348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1,146674</w:t>
            </w:r>
          </w:p>
        </w:tc>
      </w:tr>
      <w:tr w:rsidR="00F067BF" w:rsidRPr="006F5CBA" w:rsidTr="00865CE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ЧДД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-0,43877125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5.12 - Фінансова модель прогнозних показників руху грошових коштів проекту універсального розважального центру</w:t>
      </w:r>
    </w:p>
    <w:tbl>
      <w:tblPr>
        <w:tblW w:w="5000" w:type="pct"/>
        <w:tblLayout w:type="fixed"/>
        <w:tblLook w:val="0000"/>
      </w:tblPr>
      <w:tblGrid>
        <w:gridCol w:w="3512"/>
        <w:gridCol w:w="736"/>
        <w:gridCol w:w="1133"/>
        <w:gridCol w:w="1130"/>
        <w:gridCol w:w="905"/>
        <w:gridCol w:w="1041"/>
        <w:gridCol w:w="905"/>
        <w:gridCol w:w="905"/>
        <w:gridCol w:w="905"/>
        <w:gridCol w:w="905"/>
        <w:gridCol w:w="905"/>
        <w:gridCol w:w="905"/>
        <w:gridCol w:w="899"/>
      </w:tblGrid>
      <w:tr w:rsidR="00F067BF" w:rsidRPr="006F5CBA" w:rsidTr="00865CE5">
        <w:trPr>
          <w:trHeight w:val="255"/>
        </w:trPr>
        <w:tc>
          <w:tcPr>
            <w:tcW w:w="1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Нормативні ставки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2031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2032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2033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Інвестиції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з ПДВ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без ПДВ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2,769231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5,0769231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витрати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0,267281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0,4900159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Амортизація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Прибуток до оподаткування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1,981949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4,0669072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Податок на прибуток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0,317112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0,6507051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прибуток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1,664837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3,416202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Грошовий потік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2,184837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3,936202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0,813008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0,6609822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0,537384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0,436897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0,355201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0,288781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0,234782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0,190879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0,155187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грошовий потік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1,776291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2,6017596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3,244638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2,637917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2,144648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1,743616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1,417574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1,152499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0,936991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Накоплений ДГП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-8,62371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-6,0219498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-2,77731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-0,1394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2,005253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3,748869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5,166443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6,318943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7,255934</w:t>
            </w:r>
          </w:p>
        </w:tc>
      </w:tr>
      <w:tr w:rsidR="00F067BF" w:rsidRPr="006F5CBA" w:rsidTr="00865CE5">
        <w:trPr>
          <w:trHeight w:val="51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дисконтований дохід (ЧДД)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7,2559339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Індекс прибутковості (ІД)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1,69768595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Термін окупності (ТО)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років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5,06499668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51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Внутрішня норма дохідності (ВНД)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%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40,68%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0,70922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0,5029928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0,356732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0,253002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0,179434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0,127258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0,090254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0,06401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0,045397</w:t>
            </w:r>
          </w:p>
        </w:tc>
      </w:tr>
      <w:tr w:rsidR="00F067BF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дохід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1,54953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1,9798813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2,153894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1,527584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1,083393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0,768364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0,544939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0,386481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0,2741</w:t>
            </w:r>
          </w:p>
        </w:tc>
      </w:tr>
      <w:tr w:rsidR="00F067BF" w:rsidRPr="006F5CBA" w:rsidTr="00865CE5">
        <w:trPr>
          <w:trHeight w:val="27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ЧДД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-0,13183364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5.13 - Фінансова модель прогнозних показників руху грошових коштів проекту спортивного центру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Спортивний центр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2,769231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5,0769231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2,769231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0,357984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0,6563031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1,891247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3,90062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1,234944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0,6240992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0,197591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1,588648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3,2765208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1,037353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2,108648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3,7965208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1,557353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1,714348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2,5094327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3,128632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0,680404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2,06797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1,681277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1,366892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1,111294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0,903491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-8,68565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-6,1762195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-3,04759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-2,36718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-0,29921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1,382063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2,748955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3,860249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4,76374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4,76373989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1,45805191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6,17796795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35,19%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0,735294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0,5406574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0,397542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0,214934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0,15804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0,116206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0,085445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0,062828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1,550476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2,0526172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2,314478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0,455231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1,25134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0,920103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0,676546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0,49746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0,36578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-0,31596823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5.14 - Фінансова модель прогнозних показників руху грошових коштів проекту торгово-виставкового центру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Торгово-виставковий центр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7,384615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13,538462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0,483675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0,8867376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4,82094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10,571724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0,77135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1,6914758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4,04959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8,8802481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6,12959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10,960248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4,983406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7,2445291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9,004963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7,321108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5,95212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4,839122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3,934246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3,198574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2,600466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-36,6166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-29,372064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-20,3671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-13,046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-7,09387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-2,25475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1,679494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4,878068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7,478534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7,47853447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1,17977246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7,57310893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28,07%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4,75162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6,5862918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7,805992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6,051157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4,690819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3,636294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2,818833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2,185142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1,693908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-1,37994324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3476F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5.15 - Фінансова модель прогнозних показників руху грошових коштів проекту тематичного парку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F067BF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F067BF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Тематичні парки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6,923077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12,692308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0,236523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0,4336251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4,436554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10,008683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0,709849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1,6013892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3,726705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8,4072934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5,976705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10,657293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4,85911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7,0442814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8,745385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7,110069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5,780544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4,699629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3,820837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3,106371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2,525505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-40,1409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-33,096608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-24,3512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-17,2412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-11,4606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-6,76098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-2,94014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0,166228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2,691733</w:t>
            </w:r>
          </w:p>
        </w:tc>
      </w:tr>
      <w:tr w:rsidR="00F067BF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2,69173331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1,0598163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8,94648803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24,70%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0,4096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0,32768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0,262144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0,209715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0,167772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0,134218</w:t>
            </w:r>
          </w:p>
        </w:tc>
      </w:tr>
      <w:tr w:rsidR="00F067BF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4,781364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6,8206677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8,332287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6,66583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5,332664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4,266131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3,412905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2,730324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2,184259</w:t>
            </w:r>
          </w:p>
        </w:tc>
      </w:tr>
      <w:tr w:rsidR="00F067BF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-0,47356748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91125">
        <w:rPr>
          <w:rFonts w:ascii="Times New Roman" w:hAnsi="Times New Roman"/>
          <w:b/>
          <w:sz w:val="26"/>
          <w:szCs w:val="26"/>
          <w:lang w:val="uk-UA"/>
        </w:rPr>
        <w:lastRenderedPageBreak/>
        <w:t>5.1.2</w:t>
      </w:r>
      <w:r w:rsidRPr="00991125">
        <w:rPr>
          <w:rFonts w:ascii="Times New Roman" w:hAnsi="Times New Roman"/>
          <w:b/>
          <w:sz w:val="26"/>
          <w:szCs w:val="26"/>
          <w:lang w:val="uk-UA"/>
        </w:rPr>
        <w:tab/>
        <w:t>Підготовка фінансової моделі прогнозних показників руху бюджетних коштів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Фінансова модель прогнозних показників руху бюджетних коштів складатиметься з бюджетних інвестицій, бюджетних доходів та бюджетних видатків.</w:t>
      </w:r>
    </w:p>
    <w:p w:rsidR="00F067BF" w:rsidRPr="00991125" w:rsidRDefault="00F067BF" w:rsidP="00F067BF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t>Бюджетні інвестиції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Style w:val="a3"/>
          <w:b w:val="0"/>
          <w:sz w:val="26"/>
          <w:szCs w:val="26"/>
          <w:lang w:val="uk-UA"/>
        </w:rPr>
        <w:t>Бюджетні інвестиції</w:t>
      </w:r>
      <w:r w:rsidRPr="00991125">
        <w:rPr>
          <w:rFonts w:ascii="Times New Roman" w:hAnsi="Times New Roman"/>
          <w:sz w:val="26"/>
          <w:szCs w:val="26"/>
          <w:lang w:val="uk-UA"/>
        </w:rPr>
        <w:t xml:space="preserve"> – вкладення бюджетних коштів у розвиток продуктивних сил, в об'єкти інтелектуальної власності, розвиток підприємств, удосконалення робочої сили тощо. Створені за рахунок бюджетних інвестицій об'єкти виробничого та невиробничого призначення переходять у власність держави.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Проект створення Міжнародного реабілітаційного містечка «InterMedicalEcoCity» передбачає бюджетні інвестиції в:</w:t>
      </w:r>
    </w:p>
    <w:p w:rsidR="00F067BF" w:rsidRPr="00991125" w:rsidRDefault="00F067BF" w:rsidP="00F067B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розвиток базової інфраструктури, а саме підготовку території майбутнього проекту та розбудову інженерних мереж;</w:t>
      </w:r>
    </w:p>
    <w:p w:rsidR="00F067BF" w:rsidRPr="00991125" w:rsidRDefault="00F067BF" w:rsidP="00F067B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будівництво міжнародної реабілітаційної клініки (І черги), у дольовій участі 34,6% із залученими коштами, в тому числі під державні гарантії;</w:t>
      </w:r>
    </w:p>
    <w:p w:rsidR="00F067BF" w:rsidRPr="00991125" w:rsidRDefault="00F067BF" w:rsidP="00F067B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будівництво житлових будинків для спеціалістів та обслуговуючого персоналу (постійного, сезонного) Міжнародного реабілітаційного містечка «InterMedicalEcoCity».</w:t>
      </w: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.16 представлено рух бюджетних коштів за роками в розвиток Міжнародного реабілітаційного містечка «InterMedicalEcoCity».</w:t>
      </w:r>
    </w:p>
    <w:p w:rsidR="00F067BF" w:rsidRPr="007F4276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7F4276" w:rsidSect="009C5C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>Таблиця 5.16 – Прогнозні показники руху бюджетних коштів в розвиток Міжнародного реабілітаційного містечка «InterMedicalEcoCity» за роками</w:t>
      </w:r>
    </w:p>
    <w:tbl>
      <w:tblPr>
        <w:tblW w:w="5000" w:type="pct"/>
        <w:tblLook w:val="0000"/>
      </w:tblPr>
      <w:tblGrid>
        <w:gridCol w:w="2366"/>
        <w:gridCol w:w="1146"/>
        <w:gridCol w:w="616"/>
        <w:gridCol w:w="966"/>
        <w:gridCol w:w="966"/>
        <w:gridCol w:w="866"/>
        <w:gridCol w:w="766"/>
        <w:gridCol w:w="866"/>
        <w:gridCol w:w="866"/>
        <w:gridCol w:w="966"/>
        <w:gridCol w:w="966"/>
        <w:gridCol w:w="966"/>
        <w:gridCol w:w="616"/>
        <w:gridCol w:w="616"/>
        <w:gridCol w:w="616"/>
        <w:gridCol w:w="616"/>
      </w:tblGrid>
      <w:tr w:rsidR="00F067BF" w:rsidRPr="006F5CBA" w:rsidTr="00865CE5">
        <w:trPr>
          <w:trHeight w:val="255"/>
        </w:trPr>
        <w:tc>
          <w:tcPr>
            <w:tcW w:w="10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Бюджетні інвестиції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69,64616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117,8587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48,2125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93,064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750,248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340,012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1022,183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196,7707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189,1707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7,05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підготовчого етапу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в розробки до запуску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Інвестиції на будівництво 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міжнародної реабілітаційної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клініки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(І черга)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51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на створення базової інфраструктури, в т.ч: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гідротехнічні заходи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вода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16,874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9,086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канализация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електропостачання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161,8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санітарне очищення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благоустрій територій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в житловий фонд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249,5827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 на просування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lastRenderedPageBreak/>
        <w:t>Бюджетні доходи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Бюджетні доходи - доходи бюджету - податкові, неподаткові та інші надходження на безповоротній основі, справляння яких передбачено законодавством України.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Доходи держави від проекту Міжнародного реабілітаційного містечка «InterMedicalEcoCity» будуть у вигляді:</w:t>
      </w:r>
    </w:p>
    <w:p w:rsidR="00F067BF" w:rsidRPr="00991125" w:rsidRDefault="00F067BF" w:rsidP="00F067B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доходів від операційної діяльності міжнародної реабілітаційної клініки (І черга) у розмірі 34,6% від загального обсягу;</w:t>
      </w:r>
    </w:p>
    <w:p w:rsidR="00F067BF" w:rsidRPr="00991125" w:rsidRDefault="00F067BF" w:rsidP="00F067B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податкові надходження від діяльності усіх комерційних учасників Міжнародного реабілітаційного містечка «InterMedicalEcoCity» у вигляді податку на додану вартість, податку на прибуток та інших зборів.</w:t>
      </w: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 таблицях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.17-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.18 представлено рух бюджетних доходів за роками від діяльності Міжнародного реабілітаційного містечка «InterMedicalEcoCity».</w:t>
      </w:r>
    </w:p>
    <w:p w:rsidR="00F067BF" w:rsidRPr="006F5CBA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03002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>Таблиця 5.17 - Прогнозні показники руху бюджетних доходів від Міжнародного реабілітаційного містечка «InterMedicalEcoCity» за роками</w:t>
      </w:r>
    </w:p>
    <w:tbl>
      <w:tblPr>
        <w:tblW w:w="5000" w:type="pct"/>
        <w:tblLook w:val="0000"/>
      </w:tblPr>
      <w:tblGrid>
        <w:gridCol w:w="2015"/>
        <w:gridCol w:w="1092"/>
        <w:gridCol w:w="974"/>
        <w:gridCol w:w="974"/>
        <w:gridCol w:w="974"/>
        <w:gridCol w:w="973"/>
        <w:gridCol w:w="973"/>
        <w:gridCol w:w="973"/>
        <w:gridCol w:w="973"/>
        <w:gridCol w:w="973"/>
        <w:gridCol w:w="973"/>
        <w:gridCol w:w="973"/>
        <w:gridCol w:w="973"/>
        <w:gridCol w:w="973"/>
      </w:tblGrid>
      <w:tr w:rsidR="00F067BF" w:rsidRPr="006F5CBA" w:rsidTr="00865CE5">
        <w:trPr>
          <w:trHeight w:val="255"/>
        </w:trPr>
        <w:tc>
          <w:tcPr>
            <w:tcW w:w="6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Операційні доходи держави, в т.ч: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83,45198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145,1709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184,3842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195,7494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212,891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249,5349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303,136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473,2097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651,8056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814,3261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862,1685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865,5923</w:t>
            </w:r>
          </w:p>
        </w:tc>
      </w:tr>
      <w:tr w:rsidR="00F067BF" w:rsidRPr="006F5CBA" w:rsidTr="00865CE5">
        <w:trPr>
          <w:trHeight w:val="51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8"/>
                <w:szCs w:val="18"/>
                <w:lang w:val="uk-UA"/>
              </w:rPr>
              <w:t>міжнародної реабілітаційної клініки (І черга)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млн.грн.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36,48668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50,04739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64,33576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64,33576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</w:tr>
      <w:tr w:rsidR="00F067BF" w:rsidRPr="006F5CBA" w:rsidTr="00865CE5">
        <w:trPr>
          <w:trHeight w:val="54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Доходи від комерційних учасників у вигляді податків, в т.ч.: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46,9653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95,12355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120,0485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131,4137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143,1802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179,8241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233,4251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403,4988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582,0948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744,6153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792,4577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795,8814</w:t>
            </w:r>
          </w:p>
        </w:tc>
      </w:tr>
      <w:tr w:rsidR="00F067BF" w:rsidRPr="006F5CBA" w:rsidTr="00865CE5">
        <w:trPr>
          <w:trHeight w:val="510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Санаторій для батьків з дітьми та дитячі санаторії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68,90079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139,3741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14,12875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26,76938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Курортні готелі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24,81592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50,10385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Пансіонати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30,37202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59,33004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Міні-пансіонати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22,17364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43,72368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Молодіжний табір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Етнокомплекси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16,91451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33,31393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Басейни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4,466218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8,021379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Аквапарк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6,213176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10,50298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0,786912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1,512005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Спортивний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0,7724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1,485399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0,667391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Торгово-розважальний центр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2,02415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3,988276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Тематичні парки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1,884349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3,754639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ІІ черга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32,95319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42,27706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53,64224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62,48355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76,95378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84,1889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91,42401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</w:tr>
      <w:tr w:rsidR="00F067BF" w:rsidRPr="006F5CBA" w:rsidTr="00865CE5">
        <w:trPr>
          <w:trHeight w:val="255"/>
        </w:trPr>
        <w:tc>
          <w:tcPr>
            <w:tcW w:w="6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 черга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46,9653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62,17037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77,77143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77,77143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5.18 - Прогнозні показники руху бюджетних доходів від Міжнародного реабілітаційного містечка «InterMedicalEcoCity» за роками </w:t>
      </w:r>
    </w:p>
    <w:tbl>
      <w:tblPr>
        <w:tblW w:w="5000" w:type="pct"/>
        <w:tblLook w:val="0000"/>
      </w:tblPr>
      <w:tblGrid>
        <w:gridCol w:w="2157"/>
        <w:gridCol w:w="1172"/>
        <w:gridCol w:w="1042"/>
        <w:gridCol w:w="1042"/>
        <w:gridCol w:w="1042"/>
        <w:gridCol w:w="1042"/>
        <w:gridCol w:w="1042"/>
        <w:gridCol w:w="1042"/>
        <w:gridCol w:w="1041"/>
        <w:gridCol w:w="1041"/>
        <w:gridCol w:w="1041"/>
        <w:gridCol w:w="1041"/>
        <w:gridCol w:w="1041"/>
      </w:tblGrid>
      <w:tr w:rsidR="00F067BF" w:rsidRPr="006F5CBA" w:rsidTr="00865CE5">
        <w:trPr>
          <w:trHeight w:val="255"/>
        </w:trPr>
        <w:tc>
          <w:tcPr>
            <w:tcW w:w="72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2031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2032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2033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2034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2035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2036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2037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2038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Операційні доходи держави, в т.ч: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869,5102</w:t>
            </w:r>
          </w:p>
        </w:tc>
      </w:tr>
      <w:tr w:rsidR="00F067BF" w:rsidRPr="006F5CBA" w:rsidTr="00865CE5">
        <w:trPr>
          <w:trHeight w:val="51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8"/>
                <w:szCs w:val="18"/>
                <w:lang w:val="uk-UA"/>
              </w:rPr>
              <w:t>міжнародної реабілітаційної клініки (І черга)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млн.грн.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69,71082</w:t>
            </w:r>
          </w:p>
        </w:tc>
      </w:tr>
      <w:tr w:rsidR="00F067BF" w:rsidRPr="006F5CBA" w:rsidTr="00865CE5">
        <w:trPr>
          <w:trHeight w:val="54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Доходи від комерційних учасників у вигляді податків, в т.ч.: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799,7994</w:t>
            </w:r>
          </w:p>
        </w:tc>
      </w:tr>
      <w:tr w:rsidR="00F067BF" w:rsidRPr="006F5CBA" w:rsidTr="00865CE5">
        <w:trPr>
          <w:trHeight w:val="510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Санаторій для батьків з дітьми та дитячі санаторії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223,9421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41,93813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Курортні готелі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80,44937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Пансіонати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94,07967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Міні-пансіонати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69,58372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Молодіжний табір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7,951592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Етнокомплекси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52,99324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Басейни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14,37028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Аквапарк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18,06819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2,382117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Спортивний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2,340999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Торгово-розважальний центр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6,345226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Тематичні парки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5,998988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ІІ черга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98,65913</w:t>
            </w:r>
          </w:p>
        </w:tc>
      </w:tr>
      <w:tr w:rsidR="00F067BF" w:rsidRPr="006F5CBA" w:rsidTr="00865CE5">
        <w:trPr>
          <w:trHeight w:val="255"/>
        </w:trPr>
        <w:tc>
          <w:tcPr>
            <w:tcW w:w="7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Клініка - І черга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80,69664</w:t>
            </w:r>
          </w:p>
        </w:tc>
      </w:tr>
    </w:tbl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8A71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991125" w:rsidRDefault="00F067BF" w:rsidP="00F067BF">
      <w:pPr>
        <w:spacing w:after="0" w:line="360" w:lineRule="auto"/>
        <w:ind w:firstLine="709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991125">
        <w:rPr>
          <w:rFonts w:ascii="Times New Roman" w:hAnsi="Times New Roman"/>
          <w:i/>
          <w:sz w:val="26"/>
          <w:szCs w:val="26"/>
          <w:lang w:val="uk-UA"/>
        </w:rPr>
        <w:lastRenderedPageBreak/>
        <w:t>Бюджетні витрати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Бюджетні витрати – це:</w:t>
      </w:r>
    </w:p>
    <w:p w:rsidR="00F067BF" w:rsidRPr="00991125" w:rsidRDefault="00F067BF" w:rsidP="00F067BF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91125">
        <w:rPr>
          <w:sz w:val="26"/>
          <w:szCs w:val="26"/>
          <w:lang w:val="uk-UA"/>
        </w:rPr>
        <w:t>1) економічні відносини, які виникають у зв'язку з розподілом централізованого фонду грошових коштів держави і його використання за цільовим призначенням;</w:t>
      </w:r>
    </w:p>
    <w:p w:rsidR="00F067BF" w:rsidRPr="00991125" w:rsidRDefault="00F067BF" w:rsidP="00F067BF">
      <w:pPr>
        <w:pStyle w:val="a4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91125">
        <w:rPr>
          <w:sz w:val="26"/>
          <w:szCs w:val="26"/>
          <w:lang w:val="uk-UA"/>
        </w:rPr>
        <w:t>2) кошти, що спрямовуються на здійснення програм та заходів, передбачених відповідним бюджетом, за винятком коштів на погашення основної суми боргу, надання кредитів із бюджету та повернення надміру сплачених до бюджету сум.</w:t>
      </w:r>
    </w:p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Витрати держави на розвиток та утримання комунальної сфери Міжнародного реабілітаційного містечка «InterMedicalEcoCity» представлені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>.19.</w:t>
      </w:r>
    </w:p>
    <w:p w:rsidR="00F067BF" w:rsidRPr="00991125" w:rsidRDefault="00F067BF" w:rsidP="00F067B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91125">
        <w:rPr>
          <w:rFonts w:ascii="Times New Roman" w:hAnsi="Times New Roman"/>
          <w:sz w:val="26"/>
          <w:szCs w:val="26"/>
          <w:lang w:val="uk-UA"/>
        </w:rPr>
        <w:t xml:space="preserve">.19 - Прогнозні показники руху бюджетних видатків на функціонування Міжнародного реабілітаційного містечка «InterMedicalEcoCity» за роками </w:t>
      </w:r>
    </w:p>
    <w:tbl>
      <w:tblPr>
        <w:tblW w:w="9753" w:type="dxa"/>
        <w:tblLayout w:type="fixed"/>
        <w:tblLook w:val="0000"/>
      </w:tblPr>
      <w:tblGrid>
        <w:gridCol w:w="1101"/>
        <w:gridCol w:w="850"/>
        <w:gridCol w:w="781"/>
        <w:gridCol w:w="781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F067BF" w:rsidRPr="006F5CBA" w:rsidTr="00865CE5">
        <w:trPr>
          <w:trHeight w:val="255"/>
        </w:trPr>
        <w:tc>
          <w:tcPr>
            <w:tcW w:w="1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2027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2028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2029</w:t>
            </w:r>
          </w:p>
        </w:tc>
      </w:tr>
      <w:tr w:rsidR="00F067BF" w:rsidRPr="006F5CBA" w:rsidTr="00865CE5">
        <w:trPr>
          <w:trHeight w:val="255"/>
        </w:trPr>
        <w:tc>
          <w:tcPr>
            <w:tcW w:w="11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</w:tr>
      <w:tr w:rsidR="00F067BF" w:rsidRPr="006F5CBA" w:rsidTr="00865CE5">
        <w:trPr>
          <w:trHeight w:val="255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витрати держави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млн. грн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</w:tr>
      <w:tr w:rsidR="00F067BF" w:rsidRPr="006F5CBA" w:rsidTr="00865CE5">
        <w:trPr>
          <w:trHeight w:val="255"/>
        </w:trPr>
        <w:tc>
          <w:tcPr>
            <w:tcW w:w="11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sz w:val="20"/>
                <w:szCs w:val="20"/>
              </w:rPr>
              <w:t>2030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2033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5CBA">
              <w:rPr>
                <w:rFonts w:ascii="Times New Roman" w:hAnsi="Times New Roman"/>
                <w:b/>
                <w:sz w:val="20"/>
                <w:szCs w:val="20"/>
              </w:rPr>
              <w:t>2038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67BF" w:rsidRPr="006F5CBA" w:rsidTr="00865CE5">
        <w:trPr>
          <w:trHeight w:val="255"/>
        </w:trPr>
        <w:tc>
          <w:tcPr>
            <w:tcW w:w="11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період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5CB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67BF" w:rsidRPr="006F5CBA" w:rsidTr="00865CE5">
        <w:trPr>
          <w:trHeight w:val="255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витрати держави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млн. грн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Cs/>
                <w:sz w:val="20"/>
                <w:szCs w:val="20"/>
              </w:rPr>
              <w:t>381,6033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</w:tr>
    </w:tbl>
    <w:p w:rsidR="00F067BF" w:rsidRPr="00991125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91125">
        <w:rPr>
          <w:rFonts w:ascii="Times New Roman" w:hAnsi="Times New Roman"/>
          <w:sz w:val="26"/>
          <w:szCs w:val="26"/>
          <w:lang w:val="uk-UA"/>
        </w:rPr>
        <w:t>Загальна фінансова модель прогнозних показників руху бюджетних коштів представлена в таблиці 5.20.</w:t>
      </w:r>
    </w:p>
    <w:p w:rsidR="00F067BF" w:rsidRPr="006F5CBA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6F5CBA" w:rsidRDefault="00F067BF" w:rsidP="00F067B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C9237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67BF" w:rsidRPr="008771E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771E9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5.20 - Загальна фінансова модель прогнозних показників руху бюджетних коштів </w:t>
      </w:r>
    </w:p>
    <w:tbl>
      <w:tblPr>
        <w:tblW w:w="0" w:type="auto"/>
        <w:tblInd w:w="-792" w:type="dxa"/>
        <w:tblLook w:val="0000"/>
      </w:tblPr>
      <w:tblGrid>
        <w:gridCol w:w="1008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</w:tblGrid>
      <w:tr w:rsidR="00F067BF" w:rsidRPr="006F5CBA" w:rsidTr="00865CE5">
        <w:trPr>
          <w:trHeight w:val="255"/>
          <w:tblHeader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Показник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2038</w:t>
            </w:r>
          </w:p>
        </w:tc>
      </w:tr>
      <w:tr w:rsidR="00F067BF" w:rsidRPr="006F5CBA" w:rsidTr="00865CE5">
        <w:trPr>
          <w:trHeight w:val="255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25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Бюджетні інвестиції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69,64616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117,8587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48,2125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93,064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750,248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340,012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1022,183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196,7707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189,1707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59,2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7,05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підготовчого етапу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в розробки до запуску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на будівництво спільної клініки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69,14616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69,14616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на створення базової інфраструктури, в т.ч: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гідротехнічні заходи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45,2625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45,2625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16,874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канализация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73,24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електропостачання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санітарне очищення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благоустрій територій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17"/>
                <w:szCs w:val="17"/>
              </w:rPr>
              <w:t>транспорт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Інвестиції в житловий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249,5827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123,1707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123,1707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lastRenderedPageBreak/>
              <w:t>Інвестиції на просування</w:t>
            </w:r>
          </w:p>
          <w:p w:rsidR="00F067BF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067BF" w:rsidRPr="00A12A65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val="uk-UA"/>
              </w:rPr>
              <w:t>Бюджетні доходи д</w:t>
            </w: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ержави, в т.ч: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83,45198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145,1709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184,3842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195,7494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212,891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249,5349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303,136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473,2097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651,8056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814,3261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862,1685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865,5923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869,5102</w:t>
            </w:r>
          </w:p>
        </w:tc>
      </w:tr>
      <w:tr w:rsidR="00F067BF" w:rsidRPr="006F5CBA" w:rsidTr="00865CE5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 xml:space="preserve">Дохід держави від операційної діяльності 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міжнародної клініки (І черга)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36,48668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50,04739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64,33576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64,33576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69,71082</w:t>
            </w:r>
          </w:p>
        </w:tc>
      </w:tr>
      <w:tr w:rsidR="00F067BF" w:rsidRPr="006F5CBA" w:rsidTr="00865CE5">
        <w:trPr>
          <w:trHeight w:val="5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Доходи від комерційних учасників у вигляді податків, в т.ч.: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46,9653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95,12355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120,0485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131,4137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143,1802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179,8241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233,4251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403,4988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582,0948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744,6153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792,4577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795,8814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799,7994</w:t>
            </w:r>
          </w:p>
        </w:tc>
      </w:tr>
      <w:tr w:rsidR="00F067BF" w:rsidRPr="006F5CBA" w:rsidTr="00865CE5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Санаторі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ї</w:t>
            </w: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 xml:space="preserve"> для батьків з дітьми та дитячі санаторії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68,90079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139,3741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223,9421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14,12875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26,76938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41,93813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Курортні готелі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24,81592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50,10385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80,44937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Пансіонати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30,37202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59,33004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94,07967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Міні-пансіонати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22,17364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43,72368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69,58372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Молодіжний табір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7,951592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lastRenderedPageBreak/>
              <w:t>Етнокомплекси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16,91451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33,31393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52,99324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Басейни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4,466218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8,021379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14,37028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Аквапарк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6,213176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10,50298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18,06819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Універсальний 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0,786912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1,512005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2,382117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Спортивний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1,485399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0,667391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2,340999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Торгово-розважальний центр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2,02415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3,988276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6,345226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Тематичні парки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1,884349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3,754639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5,998988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Клініка - ІІ черга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32,95319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42,27706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53,64224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62,48355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76,95378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84,1889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91,42401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98,65913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Клініка - І черга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46,9653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62,17037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77,77143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77,77143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80,69664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  <w:lang w:val="uk-UA"/>
              </w:rPr>
              <w:t>Бюджетні</w:t>
            </w: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витрати держави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381,6033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-69,6462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-117,859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35,23948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52,10694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-565,864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-144,263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-1190,89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-328,839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-267,638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32,40634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260,2023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422,7228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473,5152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483,9889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487,9069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Коефіцієнт дисконтування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0,952381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0,907029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0,863838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0,822702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0,783526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0,746215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0,710681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0,676839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0,644609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0,613913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0,584679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0,556837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0,530321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0,505068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0,481017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0,458112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0,436297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0,415521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0,395734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0,376889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0,358942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0,34185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0,325571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0,310068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0,295303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Дисконтований 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-66,3297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-106,901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30,44119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42,86851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-443,369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-107,651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-846,347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-222,571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-172,522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19,89468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152,1349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235,3878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251,1152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244,4473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234,6916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223,5158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212,8722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202,7354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193,0813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183,887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175,1304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166,7909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158,8485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151,2843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144,0803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Накоплений ДГП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-66,8297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-173,731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-100,421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-543,79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-651,441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-1497,79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-1892,88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-1872,99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-1720,85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-1485,46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-1234,35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-989,901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-755,21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-531,694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-318,822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-116,086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76,99489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260,8819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436,0123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602,8032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761,6517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912,936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1057,016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Чистий дисконтований дохід (ЧДД)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1057,016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lastRenderedPageBreak/>
              <w:t>Індекс прибутковості (ІД)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1,558417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  <w:tr w:rsidR="00F067BF" w:rsidRPr="006F5CBA" w:rsidTr="00865CE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Термін окупності (ТО)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7"/>
                <w:szCs w:val="17"/>
              </w:rPr>
              <w:t>19,60123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7BF" w:rsidRPr="006F5CBA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6F5CBA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</w:tc>
      </w:tr>
    </w:tbl>
    <w:p w:rsidR="00F067BF" w:rsidRPr="006F5CBA" w:rsidRDefault="00F067BF" w:rsidP="00F067BF">
      <w:pPr>
        <w:spacing w:after="0" w:line="360" w:lineRule="auto"/>
        <w:ind w:left="172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6F5CBA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  <w:sectPr w:rsidR="00F067BF" w:rsidRPr="006F5CBA" w:rsidSect="00E02D92">
          <w:pgSz w:w="16838" w:h="11906" w:orient="landscape"/>
          <w:pgMar w:top="539" w:right="1134" w:bottom="851" w:left="1134" w:header="709" w:footer="709" w:gutter="0"/>
          <w:cols w:space="708"/>
          <w:docGrid w:linePitch="360"/>
        </w:sectPr>
      </w:pPr>
    </w:p>
    <w:p w:rsidR="00F067BF" w:rsidRPr="00A71437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lastRenderedPageBreak/>
        <w:t>Розрахунки представлені в таблиці 6.20 відображають сукупну прогнозну фінансову модель руху бюджетних коштів, та дозволяють вирахувати бюджетну ефективність. Показники ефективності бюджетних інвестицій наступні: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чистий дисконтований дохід (ЧДД) – 1057,016 млн. грн.;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індекс прибутковості (ІД) – 1,56;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дисконтований термін окупності (ДТО) – 19,6 років.</w:t>
      </w: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067BF" w:rsidRPr="00A71437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71437">
        <w:rPr>
          <w:rFonts w:ascii="Times New Roman" w:hAnsi="Times New Roman"/>
          <w:b/>
          <w:sz w:val="26"/>
          <w:szCs w:val="26"/>
          <w:lang w:val="uk-UA"/>
        </w:rPr>
        <w:t>5.1.3</w:t>
      </w:r>
      <w:r w:rsidRPr="00A71437">
        <w:rPr>
          <w:rFonts w:ascii="Times New Roman" w:hAnsi="Times New Roman"/>
          <w:b/>
          <w:sz w:val="26"/>
          <w:szCs w:val="26"/>
          <w:lang w:val="uk-UA"/>
        </w:rPr>
        <w:tab/>
        <w:t>Підготовка рекомендацій щодо вибору оптимальної фінансової структури Проекту</w:t>
      </w:r>
    </w:p>
    <w:p w:rsidR="00F067BF" w:rsidRPr="00A71437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Фінансова структура – ієрархія центрів фінансової відповідальності, що взаємодіють між собою через бюджети. В фінансової структурі проекту виділяються такі центри фінансової відповідальності (ЦФВ):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інвестицій (ЦІ);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прибутку (ЦП);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доходу (ЦД);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центр витрат (ЦВ);</w:t>
      </w:r>
    </w:p>
    <w:p w:rsidR="00F067BF" w:rsidRPr="00A71437" w:rsidRDefault="00F067BF" w:rsidP="00F067B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71437">
        <w:rPr>
          <w:rFonts w:ascii="Times New Roman" w:hAnsi="Times New Roman"/>
          <w:sz w:val="26"/>
          <w:szCs w:val="26"/>
          <w:lang w:val="uk-UA"/>
        </w:rPr>
        <w:t>місце (центр) виникнення керованих витрат (МВВ).</w:t>
      </w:r>
    </w:p>
    <w:p w:rsidR="00F067BF" w:rsidRPr="00A71437" w:rsidRDefault="00F067BF" w:rsidP="00F067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A71437">
        <w:rPr>
          <w:rFonts w:ascii="Times New Roman" w:eastAsia="Times New Roman" w:hAnsi="Times New Roman"/>
          <w:sz w:val="26"/>
          <w:szCs w:val="26"/>
          <w:lang w:val="uk-UA"/>
        </w:rPr>
        <w:t xml:space="preserve">Фінансову структуру відповідно до його організаційної структури проекту представлено в таблиці </w:t>
      </w:r>
      <w:r>
        <w:rPr>
          <w:rFonts w:ascii="Times New Roman" w:eastAsia="Times New Roman" w:hAnsi="Times New Roman"/>
          <w:sz w:val="26"/>
          <w:szCs w:val="26"/>
          <w:lang w:val="uk-UA"/>
        </w:rPr>
        <w:t>5</w:t>
      </w:r>
      <w:r w:rsidRPr="00A71437">
        <w:rPr>
          <w:rFonts w:ascii="Times New Roman" w:eastAsia="Times New Roman" w:hAnsi="Times New Roman"/>
          <w:sz w:val="26"/>
          <w:szCs w:val="26"/>
          <w:lang w:val="uk-UA"/>
        </w:rPr>
        <w:t>.21. Більш деталізовано фінансову структуру проекту буде представлено в ТЕО та БП.</w:t>
      </w:r>
    </w:p>
    <w:p w:rsidR="00F067BF" w:rsidRPr="00A71437" w:rsidRDefault="00F067BF" w:rsidP="00F067BF">
      <w:pPr>
        <w:spacing w:after="0" w:line="360" w:lineRule="auto"/>
        <w:ind w:left="1729" w:hanging="1020"/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  <w:r w:rsidRPr="00A71437">
        <w:rPr>
          <w:rFonts w:ascii="Times New Roman" w:eastAsia="Times New Roman" w:hAnsi="Times New Roman"/>
          <w:sz w:val="26"/>
          <w:szCs w:val="26"/>
          <w:lang w:val="uk-UA"/>
        </w:rPr>
        <w:t>Таблиця 5.21 – Фінансова структура проекту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0"/>
      </w:tblGrid>
      <w:tr w:rsidR="00F067BF" w:rsidRPr="00A71437" w:rsidTr="00865CE5"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Найменування ЦФВ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Тип ЦФВ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Найменування підрозділу</w:t>
            </w:r>
          </w:p>
        </w:tc>
      </w:tr>
      <w:tr w:rsidR="00F067BF" w:rsidRPr="00A71437" w:rsidTr="00865CE5"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ЦІ «</w:t>
            </w:r>
            <w:r w:rsidRPr="00A71437">
              <w:rPr>
                <w:rFonts w:ascii="Times New Roman" w:hAnsi="Times New Roman"/>
                <w:sz w:val="26"/>
                <w:szCs w:val="26"/>
                <w:lang w:val="en-US"/>
              </w:rPr>
              <w:t>InterMedicalEcoCity</w:t>
            </w: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інвестицій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Підрозділ (відповідальний) Держінвестпроект</w:t>
            </w:r>
          </w:p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(МФУ)</w:t>
            </w:r>
          </w:p>
        </w:tc>
      </w:tr>
      <w:tr w:rsidR="00F067BF" w:rsidRPr="00A71437" w:rsidTr="00865CE5"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ЦІ Приватний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інвестицій</w:t>
            </w:r>
          </w:p>
        </w:tc>
        <w:tc>
          <w:tcPr>
            <w:tcW w:w="3190" w:type="dxa"/>
            <w:vAlign w:val="center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Представництво інвестора</w:t>
            </w:r>
          </w:p>
        </w:tc>
      </w:tr>
      <w:tr w:rsidR="00F067BF" w:rsidRPr="00A71437" w:rsidTr="00865CE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«InterMedicalEcoCity» (загальний)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Генеральний підрядник</w:t>
            </w:r>
          </w:p>
        </w:tc>
      </w:tr>
      <w:tr w:rsidR="00F067BF" w:rsidRPr="00A71437" w:rsidTr="00865CE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Проектний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Фінансова група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ЦЗ Адміністрація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Адміністративна група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МВВ Маркетинг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>Місце виникнення керованих витрат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Маркетингова група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МВВ Постачання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Місце виникнення </w:t>
            </w:r>
            <w:r w:rsidRPr="00A71437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>керованих витрат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lastRenderedPageBreak/>
              <w:t xml:space="preserve">Група закупівель і </w:t>
            </w: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lastRenderedPageBreak/>
              <w:t>поставок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lastRenderedPageBreak/>
              <w:t>ЦЗ Будівництво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затрат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управління будівельно-монтажними роботами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ЦД Продажі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доходу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забезпечення продажів</w:t>
            </w:r>
          </w:p>
        </w:tc>
      </w:tr>
      <w:tr w:rsidR="00F067BF" w:rsidRPr="00A71437" w:rsidTr="00865CE5"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ЦП Проектний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Центр прибутку</w:t>
            </w:r>
          </w:p>
        </w:tc>
        <w:tc>
          <w:tcPr>
            <w:tcW w:w="3190" w:type="dxa"/>
          </w:tcPr>
          <w:p w:rsidR="00F067BF" w:rsidRPr="00A71437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A71437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Експлуатаційна група</w:t>
            </w:r>
          </w:p>
        </w:tc>
      </w:tr>
    </w:tbl>
    <w:p w:rsidR="00F067BF" w:rsidRPr="00D20B9E" w:rsidRDefault="00F067BF" w:rsidP="00F067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F067BF" w:rsidRPr="00D20B9E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EE1E5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EE1E5C">
        <w:rPr>
          <w:rFonts w:ascii="Times New Roman" w:hAnsi="Times New Roman"/>
          <w:b/>
          <w:sz w:val="26"/>
          <w:szCs w:val="26"/>
          <w:lang w:val="uk-UA"/>
        </w:rPr>
        <w:t>5.1.4</w:t>
      </w:r>
      <w:r w:rsidRPr="00EE1E5C">
        <w:rPr>
          <w:rFonts w:ascii="Times New Roman" w:hAnsi="Times New Roman"/>
          <w:b/>
          <w:sz w:val="26"/>
          <w:szCs w:val="26"/>
          <w:lang w:val="uk-UA"/>
        </w:rPr>
        <w:tab/>
        <w:t>Податкове оточення в галузі: основні податки, наявність податкових пільг</w:t>
      </w:r>
    </w:p>
    <w:p w:rsidR="00F067BF" w:rsidRPr="00EE1E5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sz w:val="26"/>
          <w:szCs w:val="26"/>
          <w:lang w:val="uk-UA"/>
        </w:rPr>
        <w:t>Проект створення</w:t>
      </w:r>
      <w:r w:rsidRPr="00EE1E5C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EE1E5C">
        <w:rPr>
          <w:rFonts w:ascii="Times New Roman" w:hAnsi="Times New Roman"/>
          <w:sz w:val="26"/>
          <w:szCs w:val="26"/>
          <w:lang w:val="uk-UA"/>
        </w:rPr>
        <w:t>Міжнародного реабілітаційного містечка «InterMedicalEcoCity» передбачає будівництво та експлуатацію об’єктів медичної, туристичної, енергетичної галузей та закладів індустрії розваг, для яких, відповідно до Податкового кодексу України, передбачено такі податки та пільги: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основна ставка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податку на прибуток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становить 16 відсотків;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звільняється від оподаткування 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підприємств паливно-енергетичного комплексу в межах фактичних витрат, що не перевищують загальну річну суму передбачених інвестиційними програмами, схваленими національною комісією, що здійснює державне регулювання у сфері енергетики, на капітальні вкладення з будівництва (реконструкції, модернізації) міждержавних, магістральних та розподільчих (локальних) електричних мереж, електричних станцій, теплоелектроцентралей, у тому числі сум, спрямованих на повернення кредитів, які використані для фінансування вищезазначених цілей (ст. 154.8);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звільняється від оподаткування прибуток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суб'єктів господарювання водо-, теплопостачання та водовідведення в межах витрат, передбачених інвестиційними програмами, погодженими органом місцевого самоврядування (в межах його компетенції) та схваленими національною комісією, що здійснює державне регулювання у сфері комунальних послуг (для суб'єктів, регулювання діяльності яких здійснює така комісія), на капітальні інвестиції в будівництво (реконструкцію, модернізацію) об'єктів водо-, теплопостачання та водовідведення, та/або сум, спрямованих на повернення кредитів, які використані для фінансування зазначених цілей (154.9);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lastRenderedPageBreak/>
        <w:t xml:space="preserve">ставки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податку на додану вартість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встановлюються від бази оподаткування в таких розмірах: а) 17 відсотків; б) 0 відсотків (ст. 193.1);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послуг із здобуття вищої, середньої, професійно-технічної та дошкільної освіти навчальними закладами, що мають ліцензію на постачання таких послуг а також послуг з проживання учнів або студентів у гуртожитках (ст. 197.1.2);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послуг з охорони здоров'я закладами охорони здоров'я, що мають ліцензію на постачання таких послуг, а також постачання послуг реабілітаційними установами для інвалідів та дітей-інвалідів, що мають ліцензію на постачання таких послуг відповідно до законодавства (ст. 197.1.5);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постачання реабілітаційних послуг інвалідам, дітям-інвалідам, а також постачання путівок на санаторно-курортне лікування, оздоровлення та відпочинок на території України фізичних осіб віком до 18 років, інвалідів, дітей-інвалідів (ст. 197.1.6);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з постачання будівельно-монтажних робіт з будівництва доступного житла та житла, що будується за державні кошти, та операції з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з першого постачання доступного житла та житла, що будується із залученням державних коштів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(ст. 197.15);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lang w:val="uk-UA"/>
        </w:rPr>
        <w:t>звільняються від оподаткування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операції із ввезення на митну територію України устаткування, яке працює на відновлюваних джерелах енергії, енергозберігаючого обладнання і матеріалів; устаткування, яке працює на відновлюваних джерелах енергії; матеріалів, сировини, устаткування та комплектуючих, які будуть використовуватися у виробництві альтернативних видів палива або виробництві енергії з відновлюваних джерел енергії; енергозберігаючого обладнання і матеріалів, виробів, експлуатація яких забезпечує економію та раціональне використання паливно-енергетичних ресурсів (ст. 197.16);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ставки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плати за користування надрами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для видобування корисних копалин установлюються у таких розмірах: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мінеральні (лікувальні та лікувально-столові питні) для внутрішнього використання лікувальними закладами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-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14,18 грн. за 1 куб. м; теплоенергетичні (термальні)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-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0,77 грн. за 1 куб. м;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прісні підземні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lastRenderedPageBreak/>
        <w:t>води - 8,95 грн. за 100 куб. м; поверхневі води - ропа (лікувальна, промислова)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– 0,86 грн. за 1 куб. м;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грязі лікувальні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– 10,24 грн. за 1 куб. м (ст. 263.9.1);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до об'єкта оподаткування за користування надрами не належать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обсяги мінеральних вод, що видобуті державними дитячими спеціалізованими санаторно-курортними закладами, в частині обсягів, що використовуються для лікування на їх території (ст. 263.2.3);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ставка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збору за здійснення діяльності у сфері розваг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на квартал становить: для використання грального автомата (грального автомата "кран-машина", грального автомата, на якому проводяться дитячі ігри, іншого грального автомата, призначеного для проведення платних розважальних ігор) - розмір мінімальної заробітної плати; для використання гральних жолобів (доріжок) кегельбана, боулінга, що вводяться в дію за допомогою жетона, монети або без них, - розмір мінімальної заробітної плати, збільшений у 2 рази, за кожний гральний жолоб (доріжку); для використання столів для більярда, що вводяться в дію за допомогою жетона, монети або без них, крім столів для більярда, що використовуються для спортивних аматорських змагань, - розмір мінімальної заробітної плати за кожний стіл для більярда; для проведення інших оплатних розважальних ігор - розмір мінімальної заробітної плати за кожне окреме гральне місце (ст. 267.3.6);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ставка </w:t>
      </w:r>
      <w:r w:rsidRPr="00EE1E5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val="uk-UA"/>
        </w:rPr>
        <w:t>туристичного збору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встановлюється у розмірі від 0,5 до 1 відсотка до бази справляння збору (ст. 268.3.1);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платниками збору не можуть бути особи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які: прибули за путівками (курсівками) на лікування, оздоровлення, реабілітацію до лікувально-профілактичних, фізкультурно-оздоровчих та санаторно-курортних закладів, що мають ліцензію на медичну практику та акредитацію центрального органу виконавчої влади, що реалізує державну політику у сфері охорони здоров'я; дитячі лікувально-профілактичні, фізкультурно-оздоровчі та санаторно-курортні заклади (ст. 268.2.2);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від сплати </w:t>
      </w:r>
      <w:r w:rsidRPr="00EE1E5C">
        <w:rPr>
          <w:rFonts w:ascii="Times New Roman" w:hAnsi="Times New Roman"/>
          <w:b/>
          <w:color w:val="000000"/>
          <w:sz w:val="26"/>
          <w:szCs w:val="26"/>
          <w:u w:val="single"/>
          <w:shd w:val="clear" w:color="auto" w:fill="FFFFFF"/>
          <w:lang w:val="uk-UA"/>
        </w:rPr>
        <w:t>земельного податку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EE1E5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звільняються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: дитячі санаторно-курортні та оздоровчі заклади України незалежно від їх підпорядкованості, у тому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числі дитячі санаторно-курортні та оздоровчі заклади України, які знаходяться на балансі підприємств, установ та організацій (ст. 282.1);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суб'єкти господарювання, які реалізують інвестиційні проекти у пріоритетних галузях економіки, схвалені відповідно до</w:t>
      </w:r>
      <w:r w:rsidRPr="00EE1E5C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hyperlink r:id="rId6" w:anchor="n3" w:tgtFrame="_blank" w:history="1">
        <w:r w:rsidRPr="00EE1E5C">
          <w:rPr>
            <w:rStyle w:val="a6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тимчасово, з 1 січня 2013 року до 31 грудня 2022 року включно, при ввезенні у митному режимі імпорту на митну територію України устаткування (обладнання) та комплектуючих виробів до нього, що </w:t>
      </w:r>
      <w:r w:rsidRPr="00EE1E5C">
        <w:rPr>
          <w:rFonts w:ascii="Times New Roman" w:hAnsi="Times New Roman"/>
          <w:i/>
          <w:color w:val="000000"/>
          <w:sz w:val="26"/>
          <w:szCs w:val="26"/>
          <w:u w:val="single"/>
          <w:shd w:val="clear" w:color="auto" w:fill="FFFFFF"/>
          <w:lang w:val="uk-UA"/>
        </w:rPr>
        <w:t>звільняються від оподаткування ввізним митом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у порядку, визначеному</w:t>
      </w:r>
      <w:r w:rsidRPr="00EE1E5C">
        <w:rPr>
          <w:rStyle w:val="apple-converted-space"/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hyperlink r:id="rId7" w:anchor="n4657" w:tgtFrame="_blank" w:history="1">
        <w:r w:rsidRPr="00EE1E5C">
          <w:rPr>
            <w:rStyle w:val="a6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підпунктом 10 пункту 4 розділу ХХI</w:t>
        </w:r>
      </w:hyperlink>
      <w:hyperlink r:id="rId8" w:anchor="n4657" w:tgtFrame="_blank" w:history="1">
        <w:r w:rsidRPr="00EE1E5C">
          <w:rPr>
            <w:rStyle w:val="apple-converted-space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 </w:t>
        </w:r>
        <w:r w:rsidRPr="00EE1E5C">
          <w:rPr>
            <w:rStyle w:val="a6"/>
            <w:rFonts w:ascii="Times New Roman" w:hAnsi="Times New Roman"/>
            <w:sz w:val="26"/>
            <w:szCs w:val="26"/>
            <w:bdr w:val="none" w:sz="0" w:space="0" w:color="auto" w:frame="1"/>
            <w:shd w:val="clear" w:color="auto" w:fill="FFFFFF"/>
            <w:lang w:val="uk-UA"/>
          </w:rPr>
          <w:t>"Прикінцеві та перехідні положення" Митного кодексу України</w:t>
        </w:r>
      </w:hyperlink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, за умови оформлення митної декларації, можуть за власним бажанням видавати митному органу (а митний орган зобов'язаний прийняти) податковий вексель на суму податкового зобов'язання з податку на додану вартість, визначену в такій митній декларації;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отриманий від реалізації інвестиційних проектів суб'єктами господарювання, які реалізують інвестиційні проекти у пріоритетних галузях економіки, схвалені відповідно до </w:t>
      </w:r>
      <w:hyperlink r:id="rId9" w:anchor="n3" w:tgtFrame="_blank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оподатковується за ставкою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: з 1 січня 2013 року по 31 грудня 2017 року включно - 0 відсотків; з 1 січня 2018 року по 31 грудня 2022 року включно - 8 відсотків; з 1 січня 2023 року - 16 відсотків (п. 10 підрозділу 4 розділу ХХ);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тимчасово, строком на 10 років, починаючи з 1 січня 2011 року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звільняється від оподаткування прибуток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суб'єкта господарської діяльності, отриманий від надання готельних послуг (група 55 КВЕД ДК 009:2005) у готелях категорій "п'ять зірок", "чотири зірки" і "три зірки", у тому числі новозбудованих чи реконструйованих або в яких проведено капітальний ремонт чи реставрація існуючих будівель і споруд;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прибуток, отриманий від основної діяльності підприємств галузі електроенергетики (клас 40.11 група 40 КВЕД ДК 009:2005), які виробляють електричну енергію виключно з відновлювальних джерел енергії (п. 17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підрозділу 4 розділу ХХ);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lastRenderedPageBreak/>
        <w:t xml:space="preserve">суб'єкти господарювання під час реалізації інвестиційних проектів у пріоритетних галузях економіки, схвалених відповідно до </w:t>
      </w:r>
      <w:hyperlink r:id="rId10" w:anchor="n3" w:tgtFrame="_blank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Закону України "Про стимулювання інвестиційної діяльності у пріоритетних галузях економіки з метою створення нових робочих місць"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, тимчасово, з 1 січня 2013 року до 31 грудня 2022 року включно, </w:t>
      </w:r>
      <w:r w:rsidRPr="00EE1E5C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val="uk-UA"/>
        </w:rPr>
        <w:t>податок на прибуток підприємств обчислюють з урахуванням таких особливостей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: під час нарахування амортизації основних засобів, що використовуються в період реалізації інвестиційного проекту та входять до груп 2 (капітальні витрати на поліпшення земель, не пов’язані з будівництвом) і 3 (будівлі), може бути застосовано метод прискореного зменшення залишкової вартості, визначений </w:t>
      </w:r>
      <w:hyperlink r:id="rId11" w:anchor="n2502" w:history="1">
        <w:r w:rsidRPr="00EE1E5C">
          <w:rPr>
            <w:rFonts w:ascii="Times New Roman" w:eastAsia="Times New Roman" w:hAnsi="Times New Roman"/>
            <w:sz w:val="26"/>
            <w:szCs w:val="26"/>
            <w:lang w:val="uk-UA"/>
          </w:rPr>
          <w:t>розділом III</w:t>
        </w:r>
      </w:hyperlink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Податкового Кодексу </w:t>
      </w:r>
      <w:r w:rsidRPr="00EE1E5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(п. 29 </w:t>
      </w:r>
      <w:r w:rsidRPr="00EE1E5C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підрозділу 4 розділу ХХ);</w:t>
      </w:r>
    </w:p>
    <w:p w:rsidR="00F067BF" w:rsidRPr="00EE1E5C" w:rsidRDefault="00F067BF" w:rsidP="00F067BF">
      <w:pPr>
        <w:numPr>
          <w:ilvl w:val="0"/>
          <w:numId w:val="1"/>
        </w:numPr>
        <w:tabs>
          <w:tab w:val="clear" w:pos="1729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E1E5C">
        <w:rPr>
          <w:rStyle w:val="hps"/>
          <w:rFonts w:ascii="Times New Roman" w:hAnsi="Times New Roman"/>
          <w:sz w:val="26"/>
          <w:szCs w:val="26"/>
          <w:lang w:val="uk-UA"/>
        </w:rPr>
        <w:t xml:space="preserve">ставка </w:t>
      </w:r>
      <w:r w:rsidRPr="00EE1E5C">
        <w:rPr>
          <w:rStyle w:val="hps"/>
          <w:rFonts w:ascii="Times New Roman" w:hAnsi="Times New Roman"/>
          <w:b/>
          <w:sz w:val="26"/>
          <w:szCs w:val="26"/>
          <w:lang w:val="uk-UA"/>
        </w:rPr>
        <w:t>єдиного соціал</w:t>
      </w:r>
      <w:r w:rsidRPr="00EE1E5C">
        <w:rPr>
          <w:rStyle w:val="hps"/>
          <w:rFonts w:ascii="Times New Roman" w:hAnsi="Times New Roman"/>
          <w:b/>
          <w:sz w:val="26"/>
          <w:szCs w:val="26"/>
          <w:lang w:val="uk-UA"/>
        </w:rPr>
        <w:t>ь</w:t>
      </w:r>
      <w:r w:rsidRPr="00EE1E5C">
        <w:rPr>
          <w:rStyle w:val="hps"/>
          <w:rFonts w:ascii="Times New Roman" w:hAnsi="Times New Roman"/>
          <w:b/>
          <w:sz w:val="26"/>
          <w:szCs w:val="26"/>
          <w:lang w:val="uk-UA"/>
        </w:rPr>
        <w:t>ного внеску</w:t>
      </w:r>
      <w:r w:rsidRPr="00EE1E5C">
        <w:rPr>
          <w:rStyle w:val="hps"/>
          <w:rFonts w:ascii="Times New Roman" w:hAnsi="Times New Roman"/>
          <w:sz w:val="26"/>
          <w:szCs w:val="26"/>
          <w:lang w:val="uk-UA"/>
        </w:rPr>
        <w:t xml:space="preserve"> 37,76%.</w:t>
      </w:r>
    </w:p>
    <w:p w:rsidR="00F067BF" w:rsidRPr="00EE1E5C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F067BF" w:rsidRPr="003B7D3D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F067BF" w:rsidRPr="00AB1826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B1826">
        <w:rPr>
          <w:rFonts w:ascii="Times New Roman" w:hAnsi="Times New Roman"/>
          <w:b/>
          <w:sz w:val="26"/>
          <w:szCs w:val="26"/>
          <w:lang w:val="uk-UA"/>
        </w:rPr>
        <w:t>5.1.5</w:t>
      </w:r>
      <w:r w:rsidRPr="00AB1826">
        <w:rPr>
          <w:rFonts w:ascii="Times New Roman" w:hAnsi="Times New Roman"/>
          <w:b/>
          <w:sz w:val="26"/>
          <w:szCs w:val="26"/>
          <w:lang w:val="uk-UA"/>
        </w:rPr>
        <w:tab/>
        <w:t>Види валют для розрахунків, валютна інфляція</w:t>
      </w:r>
    </w:p>
    <w:p w:rsidR="00F067BF" w:rsidRPr="00AB1826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B1826">
        <w:rPr>
          <w:rFonts w:ascii="Times New Roman" w:hAnsi="Times New Roman"/>
          <w:sz w:val="26"/>
          <w:szCs w:val="26"/>
          <w:lang w:val="uk-UA"/>
        </w:rPr>
        <w:t>Для розрахунків основною валютою обрана гривня – розрахунки з вітчизняними постачальниками товарів та послуг; інші валюти (Євро або долар США) – розрахунки з можливими іноземними постачальниками товарів і послуг, що пов</w:t>
      </w:r>
      <w:r w:rsidRPr="00AB1826">
        <w:rPr>
          <w:rFonts w:ascii="Times New Roman" w:hAnsi="Times New Roman"/>
          <w:sz w:val="26"/>
          <w:szCs w:val="26"/>
          <w:lang w:val="uk-UA"/>
        </w:rPr>
        <w:sym w:font="Symbol" w:char="F0A2"/>
      </w:r>
      <w:r w:rsidRPr="00AB1826">
        <w:rPr>
          <w:rFonts w:ascii="Times New Roman" w:hAnsi="Times New Roman"/>
          <w:sz w:val="26"/>
          <w:szCs w:val="26"/>
          <w:lang w:val="uk-UA"/>
        </w:rPr>
        <w:t>язані із використанням енергозберігаючих та ресурсозберігаючих технологій в будівництві. Індекси валютної інфляції надано в таблицях 5.22 – 5.24.</w:t>
      </w:r>
    </w:p>
    <w:p w:rsidR="00F067BF" w:rsidRPr="00AB1826" w:rsidRDefault="00F067BF" w:rsidP="00F067B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  <w:lang w:val="uk-UA"/>
        </w:rPr>
      </w:pPr>
      <w:r w:rsidRPr="00AB1826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Таблиця 5.22 – Індеси інфляції в Україні за 2000 – 2013 роки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752"/>
      </w:tblGrid>
      <w:tr w:rsidR="00F067BF" w:rsidRPr="00EF4303" w:rsidTr="00865CE5">
        <w:tc>
          <w:tcPr>
            <w:tcW w:w="0" w:type="auto"/>
            <w:gridSpan w:val="14"/>
            <w:hideMark/>
          </w:tcPr>
          <w:p w:rsidR="00F067BF" w:rsidRPr="00EF4303" w:rsidRDefault="00F067BF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Індекси інфляції</w:t>
            </w:r>
          </w:p>
        </w:tc>
      </w:tr>
      <w:tr w:rsidR="00F067BF" w:rsidRPr="00EF4303" w:rsidTr="00865CE5">
        <w:trPr>
          <w:trHeight w:val="1134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0" w:type="auto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125,8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106,1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99,4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108,2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112,3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110,3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111,6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116,6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2008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122,3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112,3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109,1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104,6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</w:tr>
      <w:tr w:rsidR="00F067BF" w:rsidRPr="00EF4303" w:rsidTr="00865CE5"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666666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666666"/>
                <w:sz w:val="20"/>
                <w:szCs w:val="20"/>
              </w:rPr>
              <w:t>100,1</w:t>
            </w:r>
          </w:p>
        </w:tc>
      </w:tr>
    </w:tbl>
    <w:p w:rsidR="00F067BF" w:rsidRDefault="00F067BF" w:rsidP="00F067B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* офіційна статистична інформація</w:t>
      </w:r>
    </w:p>
    <w:p w:rsidR="00F067BF" w:rsidRPr="00C61347" w:rsidRDefault="00F067BF" w:rsidP="00F067B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Таблиця 5.23 – Індеси інфляції долара США за 2000 – 2013 роки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"/>
        <w:gridCol w:w="664"/>
        <w:gridCol w:w="668"/>
        <w:gridCol w:w="694"/>
        <w:gridCol w:w="679"/>
        <w:gridCol w:w="700"/>
        <w:gridCol w:w="669"/>
        <w:gridCol w:w="643"/>
        <w:gridCol w:w="685"/>
        <w:gridCol w:w="664"/>
        <w:gridCol w:w="663"/>
        <w:gridCol w:w="679"/>
        <w:gridCol w:w="668"/>
        <w:gridCol w:w="674"/>
      </w:tblGrid>
      <w:tr w:rsidR="00F067BF" w:rsidRPr="00EF4303" w:rsidTr="00865CE5">
        <w:trPr>
          <w:trHeight w:val="1015"/>
        </w:trPr>
        <w:tc>
          <w:tcPr>
            <w:tcW w:w="714" w:type="dxa"/>
            <w:hideMark/>
          </w:tcPr>
          <w:p w:rsidR="00F067BF" w:rsidRPr="00EF4303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664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668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694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679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700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669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643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685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664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663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679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668" w:type="dxa"/>
            <w:textDirection w:val="btLr"/>
            <w:hideMark/>
          </w:tcPr>
          <w:p w:rsidR="00F067BF" w:rsidRPr="00EF4303" w:rsidRDefault="00F067BF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674" w:type="dxa"/>
            <w:hideMark/>
          </w:tcPr>
          <w:p w:rsidR="00F067BF" w:rsidRPr="00EF4303" w:rsidRDefault="00F067BF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-0.4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</w:tr>
      <w:tr w:rsidR="00F067BF" w:rsidRPr="00EF4303" w:rsidTr="00865CE5">
        <w:trPr>
          <w:trHeight w:val="255"/>
        </w:trPr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</w:tr>
    </w:tbl>
    <w:p w:rsidR="00F067BF" w:rsidRDefault="00F067BF" w:rsidP="00F067BF">
      <w:pPr>
        <w:spacing w:after="0" w:line="36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* джерело </w:t>
      </w:r>
      <w:hyperlink r:id="rId12" w:history="1">
        <w:r>
          <w:rPr>
            <w:rStyle w:val="a6"/>
          </w:rPr>
          <w:t>http://www.usinflationcalculator.com/inflation/current-inflation-rates/</w:t>
        </w:r>
      </w:hyperlink>
    </w:p>
    <w:p w:rsidR="00F067BF" w:rsidRPr="00C61347" w:rsidRDefault="00F067BF" w:rsidP="00F067B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Таблиця 5.24 – Індеси інфляції Євро за останні 11 місяців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3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810"/>
        <w:gridCol w:w="784"/>
      </w:tblGrid>
      <w:tr w:rsidR="00F067BF" w:rsidRPr="00EF4303" w:rsidTr="00865CE5">
        <w:trPr>
          <w:trHeight w:val="1134"/>
        </w:trPr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2012M08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2012M09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2012M10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2012M11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2012M12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2013M01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2013M02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2013M03 </w:t>
            </w:r>
          </w:p>
        </w:tc>
        <w:tc>
          <w:tcPr>
            <w:tcW w:w="757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2013M04 </w:t>
            </w:r>
          </w:p>
        </w:tc>
        <w:tc>
          <w:tcPr>
            <w:tcW w:w="810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2013M05 </w:t>
            </w:r>
          </w:p>
        </w:tc>
        <w:tc>
          <w:tcPr>
            <w:tcW w:w="784" w:type="dxa"/>
            <w:textDirection w:val="btLr"/>
          </w:tcPr>
          <w:p w:rsidR="00F067BF" w:rsidRPr="00EF4303" w:rsidRDefault="00F067BF" w:rsidP="00865CE5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2013M06 </w:t>
            </w:r>
          </w:p>
        </w:tc>
      </w:tr>
      <w:tr w:rsidR="00F067BF" w:rsidRPr="00EF4303" w:rsidTr="00865CE5">
        <w:trPr>
          <w:trHeight w:val="445"/>
        </w:trPr>
        <w:tc>
          <w:tcPr>
            <w:tcW w:w="1163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(17 країн)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115.59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116.43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116.71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116.47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116.89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115.67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116.09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117.47</w:t>
            </w:r>
          </w:p>
        </w:tc>
        <w:tc>
          <w:tcPr>
            <w:tcW w:w="757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117.36</w:t>
            </w:r>
          </w:p>
        </w:tc>
        <w:tc>
          <w:tcPr>
            <w:tcW w:w="810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117.49</w:t>
            </w:r>
          </w:p>
        </w:tc>
        <w:tc>
          <w:tcPr>
            <w:tcW w:w="784" w:type="dxa"/>
            <w:vAlign w:val="center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117.61</w:t>
            </w:r>
          </w:p>
        </w:tc>
      </w:tr>
      <w:tr w:rsidR="00F067BF" w:rsidRPr="00EF4303" w:rsidTr="00865CE5">
        <w:trPr>
          <w:trHeight w:val="597"/>
        </w:trPr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(середнє)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115.65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116.77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116.54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116.95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115.73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116.16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117.53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117.43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117.55 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117.68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(27 країн)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118.27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119.00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119.33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119.57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118.62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120.19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120.17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120.29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120.36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Belgium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118.42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119.15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119.48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119.32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119.72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118.77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119.25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120.34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120.32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120.45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120.51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Bulgaria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118.97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118.88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118.99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119.20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117.02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119.78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119.81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119.61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119.51 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119.86 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lastRenderedPageBreak/>
              <w:t>Czech Republic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145.57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145.98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145.65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146.40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146.66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146.03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14539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145.32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144.91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Denmark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120.4 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120.7 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121.9 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122.0 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122.2 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121.9 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122.5 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117.0 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116.5 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115.9 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117.3 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Estonia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113.9 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113.9 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114.0 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114.0 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114.9 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115.4 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114.8 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115.1 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115.2 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Ireland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139.96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140.56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140.67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140.22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140.18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141.09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142.03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143.22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143.35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143.92 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144.73 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Greece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109.3 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108.8 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108.2 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109.1 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</w:tr>
      <w:tr w:rsidR="00F067BF" w:rsidRPr="00EF4303" w:rsidTr="00865CE5">
        <w:tc>
          <w:tcPr>
            <w:tcW w:w="1163" w:type="dxa"/>
          </w:tcPr>
          <w:p w:rsidR="00F067BF" w:rsidRPr="00EF4303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118.72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121.01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121.56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121.28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121.28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119.07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119.19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121.40</w:t>
            </w:r>
          </w:p>
        </w:tc>
        <w:tc>
          <w:tcPr>
            <w:tcW w:w="757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121.49</w:t>
            </w:r>
          </w:p>
        </w:tc>
        <w:tc>
          <w:tcPr>
            <w:tcW w:w="810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121.61 </w:t>
            </w:r>
          </w:p>
        </w:tc>
        <w:tc>
          <w:tcPr>
            <w:tcW w:w="784" w:type="dxa"/>
          </w:tcPr>
          <w:p w:rsidR="00F067BF" w:rsidRPr="00EF4303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121.74 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114.24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114.41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115.06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114.92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114.98 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115.18 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Croatia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123.40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123.93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124.52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125.62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125.62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125.83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116.5 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119.2 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119.3 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119.8 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119.8 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120.1 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Cyprus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120.70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120.63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120.88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119.63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119.53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118.54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119.91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120.18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121.16 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121.85 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Latvia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146.74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146.98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146.80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146.91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146.60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146.51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147.26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147.65 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148.22 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Lithuania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138.58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139.60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139.33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139.10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138.99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139.25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139.16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139.61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140.08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140.41 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140.13 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Luxembourg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121.36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121.99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121.53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122.75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122.97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122.40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122.93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Hungary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142.64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143.28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143.52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143.42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143.47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143.70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144.60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144.99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145.38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145.22 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145.57 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Malta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122.12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121.29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118.23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117.57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115.89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115.93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117.22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120.58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121.93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122.95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Netherlands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113.43 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113.98 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114.35 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114.20 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114.17 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115.34 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116.88 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116.97 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117.02 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116.44 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Austria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116.01 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117.32 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117.68 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117.76 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118.05 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117.29 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117.70 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118.85 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119.00</w:t>
            </w:r>
            <w:r w:rsidRPr="000C6AE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r</w:t>
            </w: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118.79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Poland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124.5 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124.8 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125.8 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115.92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116.37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116.54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116.11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116.38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114.77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116.79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117.07 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117.13 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Romania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148.35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150.00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150.36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150.26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150.78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152.21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152.82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152.93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152.97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153.37 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153.42 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Slovenia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121.31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122.71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122.52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122.69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123.76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124.08 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124.13 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Slovakia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121.23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121.57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122.14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122.94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123.08 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123.27 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Finland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117.82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118.52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118.70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119.67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120.28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120.50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120.49 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120.42 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112.96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113.67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112.83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113.78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114.02 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113.85 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123.1 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123.5 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124.2 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125.2 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125.9 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126.1 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Iceland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167.88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169.93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170.27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171.25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170.89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171.91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175.26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175.79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175.79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175.64 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177.25 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Norway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114.5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116.1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116.0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115.4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Switzerland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102.9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103.2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102.8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103.5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103.5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103.7</w:t>
            </w:r>
          </w:p>
        </w:tc>
      </w:tr>
      <w:tr w:rsidR="00F067BF" w:rsidRPr="000C6AE6" w:rsidTr="00865CE5">
        <w:tc>
          <w:tcPr>
            <w:tcW w:w="1163" w:type="dxa"/>
          </w:tcPr>
          <w:p w:rsidR="00F067BF" w:rsidRPr="000C6AE6" w:rsidRDefault="00F067BF" w:rsidP="00865CE5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Turkey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174.46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176.11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179.73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180.23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180.94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184.17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184.88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186.20</w:t>
            </w:r>
          </w:p>
        </w:tc>
        <w:tc>
          <w:tcPr>
            <w:tcW w:w="757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186.55</w:t>
            </w:r>
          </w:p>
        </w:tc>
        <w:tc>
          <w:tcPr>
            <w:tcW w:w="810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186.71</w:t>
            </w:r>
          </w:p>
        </w:tc>
        <w:tc>
          <w:tcPr>
            <w:tcW w:w="784" w:type="dxa"/>
          </w:tcPr>
          <w:p w:rsidR="00F067BF" w:rsidRPr="000C6AE6" w:rsidRDefault="00F067BF" w:rsidP="00865CE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187.99</w:t>
            </w:r>
          </w:p>
        </w:tc>
      </w:tr>
    </w:tbl>
    <w:p w:rsidR="00F067BF" w:rsidRDefault="00F067BF" w:rsidP="00F067BF">
      <w:pPr>
        <w:spacing w:after="0" w:line="36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* джерело </w:t>
      </w:r>
      <w:hyperlink r:id="rId13" w:history="1">
        <w:r>
          <w:rPr>
            <w:rStyle w:val="a6"/>
          </w:rPr>
          <w:t>http://epp.eurostat.ec.europa.eu</w:t>
        </w:r>
      </w:hyperlink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E6383">
        <w:rPr>
          <w:rFonts w:ascii="Times New Roman" w:hAnsi="Times New Roman"/>
          <w:b/>
          <w:sz w:val="26"/>
          <w:szCs w:val="26"/>
          <w:lang w:val="uk-UA"/>
        </w:rPr>
        <w:t>5.1.6</w:t>
      </w:r>
      <w:r w:rsidRPr="003E6383">
        <w:rPr>
          <w:rFonts w:ascii="Times New Roman" w:hAnsi="Times New Roman"/>
          <w:b/>
          <w:sz w:val="26"/>
          <w:szCs w:val="26"/>
          <w:lang w:val="uk-UA"/>
        </w:rPr>
        <w:tab/>
        <w:t>Умови надання фінансування</w:t>
      </w: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t>Основними джерелами фінансування проекту створення</w:t>
      </w:r>
      <w:r w:rsidRPr="003E63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3E6383">
        <w:rPr>
          <w:rFonts w:ascii="Times New Roman" w:hAnsi="Times New Roman"/>
          <w:sz w:val="26"/>
          <w:szCs w:val="26"/>
          <w:lang w:val="uk-UA"/>
        </w:rPr>
        <w:t>Міжнародного реабілітаційного містечка «InterMedicalEcoCity» визначені: державні інвестиції; приватні інвестиції; залучені кошти (в т.ч. під державні гарантії).</w:t>
      </w: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Style w:val="rvts23"/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lastRenderedPageBreak/>
        <w:t>Умови залучення коштів під державні гарантії передбачено Постановою КМУ № 404-2013 п від 03.06.2013 року «</w:t>
      </w:r>
      <w:r w:rsidRPr="003E6383">
        <w:rPr>
          <w:rStyle w:val="rvts23"/>
          <w:rFonts w:ascii="Times New Roman" w:hAnsi="Times New Roman"/>
          <w:sz w:val="26"/>
          <w:szCs w:val="26"/>
        </w:rPr>
        <w:t>Деякі питання здійснення головними розпорядниками бюджетних коштів капітальних видатків понад обсяги встановлених бюджетних призначень</w:t>
      </w:r>
      <w:r w:rsidRPr="003E6383">
        <w:rPr>
          <w:rStyle w:val="rvts23"/>
          <w:rFonts w:ascii="Times New Roman" w:hAnsi="Times New Roman"/>
          <w:sz w:val="26"/>
          <w:szCs w:val="26"/>
          <w:lang w:val="uk-UA"/>
        </w:rPr>
        <w:t xml:space="preserve">» [http://zakon4.rada.gov.ua/laws/show/404-2013-%D0%BF#n47]. </w:t>
      </w: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Style w:val="rvts23"/>
          <w:rFonts w:ascii="Times New Roman" w:hAnsi="Times New Roman"/>
          <w:sz w:val="26"/>
          <w:szCs w:val="26"/>
          <w:lang w:val="uk-UA"/>
        </w:rPr>
        <w:t xml:space="preserve">Дана постанова визначає </w:t>
      </w:r>
      <w:hyperlink r:id="rId14" w:anchor="n47" w:history="1">
        <w:r w:rsidRPr="003E6383">
          <w:rPr>
            <w:rFonts w:ascii="Times New Roman" w:hAnsi="Times New Roman"/>
            <w:sz w:val="26"/>
            <w:szCs w:val="26"/>
          </w:rPr>
          <w:t>Порядок залучення у 2013 році коштів під державні гарантії головними розпорядниками бюджетних коштів для здійснення капітальних видатків понад обсяги встановлених бюджетних призначень та повернення таких коштів</w:t>
        </w:r>
      </w:hyperlink>
      <w:r w:rsidRPr="003E6383">
        <w:rPr>
          <w:rFonts w:ascii="Times New Roman" w:hAnsi="Times New Roman"/>
          <w:sz w:val="26"/>
          <w:szCs w:val="26"/>
          <w:lang w:val="uk-UA"/>
        </w:rPr>
        <w:t>. Умови залучення коштів під державні гарантії – виплата 2% річних. Оплата відсотків здійснюється 1 раз на півроку.</w:t>
      </w: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t>Для фінансування проекту (особливо локальних інвестиційних проектів) можуть також використовуватися кредитні лінії Міжнародного банку реконструкції та розвитку та Європейського банку реконструкції та розвитку.</w:t>
      </w:r>
    </w:p>
    <w:p w:rsidR="00F067BF" w:rsidRPr="003E6383" w:rsidRDefault="00F067BF" w:rsidP="00F067BF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bCs/>
          <w:i/>
          <w:sz w:val="26"/>
          <w:szCs w:val="26"/>
          <w:lang w:val="uk-UA"/>
        </w:rPr>
        <w:t>Кредитування по лініях  Міжнародного банку реконструкції та розвитку (МБРР)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</w:rPr>
      </w:pPr>
      <w:r w:rsidRPr="003E6383">
        <w:rPr>
          <w:color w:val="000000"/>
          <w:sz w:val="26"/>
          <w:szCs w:val="26"/>
        </w:rPr>
        <w:t>Традиційно МБРР надає позики для фінансування конкретних проектів двома шляхами: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</w:rPr>
        <w:t>1) безпосередньо проектній компанії, отримуючи в такому разі гарантію відповідної держави відносно платіжних зобов'язань компанії. Ця схема охоплює два елементи: а) кредитну угоду між МБРР та проектною компанією; б) гарантійну угоду між МБРР та державою. Гарантійна угода покриває повернення позики, а у випадку, коли компанія підконтрольна державі, гарантія забезпечує виконання</w:t>
      </w:r>
      <w:r w:rsidRPr="003E6383">
        <w:rPr>
          <w:color w:val="000000"/>
          <w:sz w:val="26"/>
          <w:szCs w:val="26"/>
          <w:lang w:val="uk-UA"/>
        </w:rPr>
        <w:t>;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</w:rPr>
        <w:t>2) безпосередньо державі, яка в свою чергу надає цю позику проектній компанії. У такому разі платіжне зобов'язання покладається на державу, а не на проектну компанію. Ця схема включає такі основні елементи: а) кредитну угоду між МБРР та державою; б) субсидіарну кредитну угоду між державою та проектною компанією; в) проектну угоду між МБРР та проектною компанією, що містить певні зобов'язання останньої відносно реалізації проекту</w:t>
      </w:r>
      <w:r w:rsidRPr="003E6383">
        <w:rPr>
          <w:color w:val="000000"/>
          <w:sz w:val="26"/>
          <w:szCs w:val="26"/>
          <w:lang w:val="uk-UA"/>
        </w:rPr>
        <w:t>.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1. </w:t>
      </w:r>
      <w:r w:rsidRPr="003E6383">
        <w:rPr>
          <w:color w:val="000000"/>
          <w:sz w:val="26"/>
          <w:szCs w:val="26"/>
        </w:rPr>
        <w:t>До початку реалізації проекту співвідношення</w:t>
      </w:r>
      <w:r w:rsidRPr="003E6383">
        <w:rPr>
          <w:color w:val="000000"/>
          <w:sz w:val="26"/>
          <w:szCs w:val="26"/>
          <w:lang w:val="uk-UA"/>
        </w:rPr>
        <w:t xml:space="preserve"> </w:t>
      </w:r>
      <w:r w:rsidRPr="003E6383">
        <w:rPr>
          <w:color w:val="000000"/>
          <w:sz w:val="26"/>
          <w:szCs w:val="26"/>
        </w:rPr>
        <w:t>"борг (включаючи кредит МБРР, що запитується): власний капітал" не повинне бути більше 75:25.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lastRenderedPageBreak/>
        <w:t xml:space="preserve">2. </w:t>
      </w:r>
      <w:r w:rsidRPr="003E6383">
        <w:rPr>
          <w:color w:val="000000"/>
          <w:sz w:val="26"/>
          <w:szCs w:val="26"/>
        </w:rPr>
        <w:t>Під час втілення проекту Позичальник повинен бути здатний підтримувати значення Коефіцієнта Обслуговування Боргу не менш 1,3-1 і співвідношення "борг : власний капітал" не більше 75:25.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3. </w:t>
      </w:r>
      <w:r w:rsidRPr="003E6383">
        <w:rPr>
          <w:color w:val="000000"/>
          <w:sz w:val="26"/>
          <w:szCs w:val="26"/>
        </w:rPr>
        <w:t>Мінімальна загальна вартість проекту - 20 000 дол. США, максимальна вартість - 3 млн. дол. США.</w:t>
      </w:r>
      <w:r w:rsidRPr="003E6383">
        <w:rPr>
          <w:color w:val="000000"/>
          <w:sz w:val="26"/>
          <w:szCs w:val="26"/>
          <w:lang w:val="uk-UA"/>
        </w:rPr>
        <w:t xml:space="preserve"> </w:t>
      </w:r>
      <w:r w:rsidRPr="003E6383">
        <w:rPr>
          <w:color w:val="000000"/>
          <w:sz w:val="26"/>
          <w:szCs w:val="26"/>
        </w:rPr>
        <w:t>Сума кредиту - до 75 % від вартості проекту: мінімальна - 15 000 дол. США; максимальна - 2 250 000 дол. США. Загальна основна сума кредиту, видана Позичальникові (або групі взаємозалежних Позичальників) не повинна перевищувати 5 млн. дол. США.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4. </w:t>
      </w:r>
      <w:r w:rsidRPr="003E6383">
        <w:rPr>
          <w:color w:val="000000"/>
          <w:sz w:val="26"/>
          <w:szCs w:val="26"/>
        </w:rPr>
        <w:t>Залежно від вибору валюти, який робить Україна, та інших фінансових умов теперішня загальна вартість запозичень може становити від LIBOR + 0,25 % до LIBOR + 0,</w:t>
      </w:r>
      <w:r w:rsidRPr="003E6383">
        <w:rPr>
          <w:color w:val="000000"/>
          <w:sz w:val="26"/>
          <w:szCs w:val="26"/>
          <w:lang w:val="uk-UA"/>
        </w:rPr>
        <w:t>85</w:t>
      </w:r>
      <w:r w:rsidRPr="003E6383">
        <w:rPr>
          <w:color w:val="000000"/>
          <w:sz w:val="26"/>
          <w:szCs w:val="26"/>
        </w:rPr>
        <w:t xml:space="preserve"> %.</w:t>
      </w:r>
    </w:p>
    <w:p w:rsidR="00F067BF" w:rsidRPr="003E6383" w:rsidRDefault="00F067BF" w:rsidP="00F067B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>5. Вартість кредиту також включає єдиноразові комісійні НБУ й Банку в розмірі 1,125% від основної суми кредиту. Умовами кредитної лінії МБРР передбачена плата за зобов'язання (резервування) у розмірі 0,75% річних від суми будь-якої невибраної частини кредиту, починаючи з дати затвердження кредиту НБУ, на основі кількості днів, коли будь-яка частина кредиту залишається невибраною, і з розрахунку року в 360 днів.</w:t>
      </w:r>
    </w:p>
    <w:p w:rsidR="00F067BF" w:rsidRPr="003E6383" w:rsidRDefault="00F067BF" w:rsidP="00F067BF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bCs/>
          <w:i/>
          <w:sz w:val="26"/>
          <w:szCs w:val="26"/>
          <w:lang w:val="uk-UA"/>
        </w:rPr>
        <w:t>Кредитування по лініях  Європейського банку реконструкції та розвитку (ЄБРР)</w:t>
      </w:r>
    </w:p>
    <w:p w:rsidR="00F067BF" w:rsidRPr="003E6383" w:rsidRDefault="00F067BF" w:rsidP="00F067BF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Сума кредиту - до 70 % від вартості проекту: мінімальна - 125 000 дол. США; максимальна - 2,5 млн. дол. США.</w:t>
      </w:r>
    </w:p>
    <w:p w:rsidR="00F067BF" w:rsidRPr="003E6383" w:rsidRDefault="00F067BF" w:rsidP="00F067BF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Власний внесок у проект Позичальника - не менш 30 % від вартості проекту. Позичальник повинен мати заплановане нагромадження коштів або збільшення акціонерного капіталу, достатнє для здійснення необхідних витрат по проекту.</w:t>
      </w:r>
    </w:p>
    <w:p w:rsidR="00F067BF" w:rsidRPr="003E6383" w:rsidRDefault="00F067BF" w:rsidP="00F067BF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Основною вимогою, що ставиться для забезпечення кредиту, є 200%-е покриття суми кредиту - майном і майновими правами по заставній вартості. Структура забезпечення повинна бути представлена в наступному вигляді: не менш 120%-е покриття суми кредиту ліквідним майном по заставній вартості; 80%-е покриття суми кредиту може містити в собі: майнові права на кошти або товарно-</w:t>
      </w:r>
      <w:r w:rsidRPr="003E6383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матеріальні цінності за контрактами (договорами) по заставній вартості, товари в обороті та/або в переробці по заставній вартості, гарантії прийнятних банків.</w:t>
      </w:r>
    </w:p>
    <w:p w:rsidR="00F067BF" w:rsidRPr="003E6383" w:rsidRDefault="00F067BF" w:rsidP="00F067BF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Вартість кредиту включає річну відсоткову ставку </w:t>
      </w: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LIBOR</w:t>
      </w:r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+ 8% та єдиноразові комісійні НБУ й Банку в розмірі до 3% від основної суми кредиту. </w:t>
      </w: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Відсотки нараховуються на непогашену частину кредиту на основі фактичної кількості днів, які пройшли, і на основі року в 360 днів. Процентна ставка залежить від LIBOR, тому може змінюватися протягом дії кредитного договору. Також умовами кредитної лінії ЄБРР передбачена плата за зобов'язання (резервування) у розмірі 0,5% річних від суми будь-якої невибраної частини кредиту, починаючи з дати затвердження кредиту НБУ, на основі кількості днів, коли будь-яка частина кредиту залишається невибраною, з розрахунку року в 360 днів, і комісія за дострокове погашення кредиту в розмірі (LIBOR + 3,5%) від суми, яка достроково погашається.</w:t>
      </w:r>
    </w:p>
    <w:p w:rsidR="00F067BF" w:rsidRPr="003E6383" w:rsidRDefault="00F067BF" w:rsidP="00F067BF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Повернення основної суми кредиту проводиться вроздріб і може бути відстрочено до 2 років при наявності відповідного обґрунтування.</w:t>
      </w: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F067BF" w:rsidRPr="0061219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Pr="005C445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5C4459">
        <w:rPr>
          <w:rFonts w:ascii="Times New Roman" w:hAnsi="Times New Roman"/>
          <w:b/>
          <w:sz w:val="26"/>
          <w:szCs w:val="26"/>
          <w:lang w:val="uk-UA"/>
        </w:rPr>
        <w:t>5.1.7</w:t>
      </w:r>
      <w:r w:rsidRPr="005C4459">
        <w:rPr>
          <w:rFonts w:ascii="Times New Roman" w:hAnsi="Times New Roman"/>
          <w:b/>
          <w:sz w:val="26"/>
          <w:szCs w:val="26"/>
          <w:lang w:val="uk-UA"/>
        </w:rPr>
        <w:tab/>
        <w:t>Аналіз ризиків і шляхів зменшення їх впливу</w:t>
      </w:r>
    </w:p>
    <w:p w:rsidR="00F067BF" w:rsidRPr="00163E18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63E18">
        <w:rPr>
          <w:rFonts w:ascii="Times New Roman" w:hAnsi="Times New Roman"/>
          <w:sz w:val="26"/>
          <w:szCs w:val="26"/>
          <w:lang w:val="uk-UA"/>
        </w:rPr>
        <w:t>Ідентифікація основних ризиків проекту та орієнтировних методів управління ними і відповідні заходи надано в таблиці 5.25. Детальний аналіз ризиків буде представлено в ТЕО та бізнес-плані.</w:t>
      </w: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Sect="00A759D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67BF" w:rsidRPr="003E6383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lastRenderedPageBreak/>
        <w:t>Таблиця 5.25 – Ідентифікація ризиків проекту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842"/>
        <w:gridCol w:w="1985"/>
        <w:gridCol w:w="3119"/>
        <w:gridCol w:w="3260"/>
        <w:gridCol w:w="4252"/>
      </w:tblGrid>
      <w:tr w:rsidR="00F067BF" w:rsidRPr="0094798E" w:rsidTr="00865CE5">
        <w:tc>
          <w:tcPr>
            <w:tcW w:w="534" w:type="dxa"/>
            <w:shd w:val="clear" w:color="auto" w:fill="auto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ризику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Конкретна подія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Причини виникнення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Наслідки</w:t>
            </w:r>
          </w:p>
        </w:tc>
        <w:tc>
          <w:tcPr>
            <w:tcW w:w="4252" w:type="dxa"/>
            <w:vAlign w:val="center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Методи управління</w:t>
            </w:r>
          </w:p>
        </w:tc>
      </w:tr>
      <w:tr w:rsidR="00F067BF" w:rsidRPr="0094798E" w:rsidTr="00865CE5">
        <w:tc>
          <w:tcPr>
            <w:tcW w:w="14992" w:type="dxa"/>
            <w:gridSpan w:val="6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Макроекономічні ризики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Політи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</w:p>
        </w:tc>
        <w:tc>
          <w:tcPr>
            <w:tcW w:w="1985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Зміна політичної ситуації</w:t>
            </w:r>
          </w:p>
        </w:tc>
        <w:tc>
          <w:tcPr>
            <w:tcW w:w="3119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Зміна влади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зокрема, 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місцевої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зміни в геополітичному становищі держави</w:t>
            </w:r>
          </w:p>
        </w:tc>
        <w:tc>
          <w:tcPr>
            <w:tcW w:w="3260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Відсутність підтримки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проекту на рівні держави та/або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місцево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ю</w:t>
            </w: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ою; зниження 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їзних туристичних потоків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активний соціальний маркетинг; пільгові умови для інвесторів і споживачів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1985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Погіршення екологічного стану території реалізації проекту</w:t>
            </w:r>
          </w:p>
        </w:tc>
        <w:tc>
          <w:tcPr>
            <w:tcW w:w="3119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Обміління й засолення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підвищення забрудненості води та земель</w:t>
            </w:r>
          </w:p>
        </w:tc>
        <w:tc>
          <w:tcPr>
            <w:tcW w:w="3260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Обмеженість ресурсів (вода, грязь)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неможливість надання якісних послуг; втрата інвесторів та споживачів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Мінімізація ймовірності виникнення, розробка та використання продуманої системи контролю якості послуг; активне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рекламування здорового способу життя та екологічної свідомості населення; співпраця з громадськими організаціями щодо охорони навколишнього середовища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</w:p>
        </w:tc>
        <w:tc>
          <w:tcPr>
            <w:tcW w:w="1985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Зміни в економічних показниках</w:t>
            </w:r>
          </w:p>
        </w:tc>
        <w:tc>
          <w:tcPr>
            <w:tcW w:w="3119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Нестабільність в країні, криза</w:t>
            </w:r>
          </w:p>
        </w:tc>
        <w:tc>
          <w:tcPr>
            <w:tcW w:w="3260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Затримка реалізації, несвоєчасна здача в експлуатацію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нестача інвестицій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варіантів реалізації 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альтернативних проектних пропозицій для локальних інвестиційних проектів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Законодавство</w:t>
            </w:r>
          </w:p>
        </w:tc>
        <w:tc>
          <w:tcPr>
            <w:tcW w:w="1985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Посилення вимог санітарного або екологічного контролю, збільшення податкових ставок</w:t>
            </w:r>
          </w:p>
        </w:tc>
        <w:tc>
          <w:tcPr>
            <w:tcW w:w="3119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Зміна влади або соціально-політичної ситуації в країні</w:t>
            </w:r>
          </w:p>
        </w:tc>
        <w:tc>
          <w:tcPr>
            <w:tcW w:w="3260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t>Затримка реалізації, несвоєчасна здача в експлуатацію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нестача інвестицій; збільшення витрат бюджету, в тому числі обсягів коштів на непередбачувані витрати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моніторинг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законодавчої бази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альтернативні умови договорів про співпрацю; пільгові умови для якірних інвесторів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Населення</w:t>
            </w:r>
          </w:p>
        </w:tc>
        <w:tc>
          <w:tcPr>
            <w:tcW w:w="1985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Негативне відношення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населення до проекту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Непродумана маркетингова стратегія;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виконання неналежним чином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неефективна програма соціального маркетингу</w:t>
            </w:r>
          </w:p>
        </w:tc>
        <w:tc>
          <w:tcPr>
            <w:tcW w:w="3260" w:type="dxa"/>
            <w:shd w:val="clear" w:color="auto" w:fill="auto"/>
          </w:tcPr>
          <w:p w:rsidR="00F067BF" w:rsidRPr="00745464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4546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Відсутність підтримки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проекту населенням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території проекту; збільшення строків реалізації проекту; зниження  туристичних потоків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Мінімізація ймовірності виникнення, розробка та використання продуманої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системи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цільовою аудиторією 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активна співпраця з громадськими організаціями та благодійними фондами (непряма реклама)</w:t>
            </w:r>
          </w:p>
        </w:tc>
      </w:tr>
      <w:tr w:rsidR="00F067BF" w:rsidRPr="0094798E" w:rsidTr="00865CE5">
        <w:tc>
          <w:tcPr>
            <w:tcW w:w="14992" w:type="dxa"/>
            <w:gridSpan w:val="6"/>
            <w:shd w:val="clear" w:color="auto" w:fill="auto"/>
          </w:tcPr>
          <w:p w:rsidR="00F067BF" w:rsidRDefault="00F067BF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Мікроекономічні ризики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Маркетингова стратегія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Неправильний вибір маркетингової стратегії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Непродумана маркетингова стратегія; виконання неналежним чином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неефективна програма маркетингу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Зменшення попиту на послуги; втрата частки прибутку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мінімізація збитків, розроб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альтернативних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маркетингових стратегій;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залучення спеціалістів високої кваліфікації,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експертів</w:t>
            </w:r>
          </w:p>
        </w:tc>
      </w:tr>
      <w:tr w:rsidR="00F067BF" w:rsidRPr="0094798E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Інформованість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Низька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інформованість про послуг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Відсутність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або неефективність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власного сайту; рекламних роликів; відсутність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або невірний вибір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іміджу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Невпізнанність послуги; втрата потенційних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 і клієнтів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Контроль ризику, диверсифікація, реклама; інтернет; видання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друкованих рекламних матеріалів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; статті в ЗМІ; позитивні відгуки попередніх клієнтів; особиста розсилка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Послуги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Ризик нереалізації послуг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Залежність результатів прийнятих рішень від "особистих" умов договору; активізація маркетингової діяльності конкурентів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зниження рівню життя населення (неможливість оплати послуг)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Скорочення потреби в даному виді послуг; зниження попиту з огляду на зміни структури бюджету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Мінімізація ймовірності виникнення, розробка та використання продуманої системи контролю якості послуг; створення та актуалізація бази даних можливих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 та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орендарів; активне використання всіх форм маркетингу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співпраця з благодійними фондами для створення пільгових умов оплати послуг для певних категорій громадян</w:t>
            </w:r>
          </w:p>
        </w:tc>
      </w:tr>
      <w:tr w:rsidR="00F067BF" w:rsidRPr="0094798E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Конкуренти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Поява нових конкурентів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Різке зростання обсягів і рентабельності виробництва (сприяє припливу конкурентів)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Втрата частки ринку; відтік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інвесторів,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 і клієнтів; зниження попиту на послуги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позиціонування на ринку; використання реклами; конкурентні переваги; інформація про досвід попередніх проектів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моніторинг стану конкурентів</w:t>
            </w:r>
          </w:p>
        </w:tc>
      </w:tr>
      <w:tr w:rsidR="00F067BF" w:rsidRPr="0094798E" w:rsidTr="00865CE5">
        <w:trPr>
          <w:trHeight w:val="1497"/>
        </w:trPr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Оплата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Ризик неотримання (несвоєчасного отримання) оплати за реалізовану послугу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Кризовий стан взаємних платежів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Прийняття рішення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інвестором або 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орендарем про використання призначеної для оплати суми на інші цілі; відсутність необхідної суми 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інвесторів (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орендарів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Мінімізація збитків, контроль ризику, попередня оплата, прописування в договорах штрафних санкцій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Виробничі плани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Ризик зриву власних виробничих планів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Непередбачувана нестача фінансових коштів; технічні аварії; перехід кваліфікованих кадрів на інші підприємства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або нестача кадрів необхідної кваліфікації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Призупинення робочого процесу; втрата планованого, додаткового прибутку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Виключення ризику, ув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язка соціальної стратегії з цілями і можливостями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проекту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; розвиток технологічної і технічної бази</w:t>
            </w:r>
          </w:p>
        </w:tc>
      </w:tr>
      <w:tr w:rsidR="00F067BF" w:rsidRPr="00BB406B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Поставщики товарів, послуг, устаткування тощо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Ризик несвоєчасного отримання товарів, послуг, устаткування або збільшення їх вартості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Нестабільна економічна та/або фінансова ситуація, фінансово-економічна криза; несумлінність поставщиків; інфляція на певні групи товарів та послуг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Призупинення робочого процесу; втрата планованого, додаткового прибутку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збільшення бюджету проекту та/або обсягів непередбачуваних витрат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диверсифікація, чітке і однозначне формулювання відповідних статей у документах; залучення для оформлення документів фахівців, що мають практичний досвід у цій галузі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експертів; створення бази даних та розгалуженої системи поставщиків</w:t>
            </w:r>
          </w:p>
        </w:tc>
      </w:tr>
      <w:tr w:rsidR="00F067BF" w:rsidRPr="0094798E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Договори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Вимушені зміни умов договорів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Зміна керівництва, зміна пріоритетів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Затягування строків; зменшення прогнозованого прибутку; розрив контракту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Контроль ризику, диверсифікація, чітке і однозначне формулювання відповідних статей у документах; залучення для оформлення документів фахівців, що мають практичний досвід у цій галузі</w:t>
            </w:r>
          </w:p>
        </w:tc>
      </w:tr>
      <w:tr w:rsidR="00F067BF" w:rsidRPr="0094798E" w:rsidTr="00865CE5">
        <w:tc>
          <w:tcPr>
            <w:tcW w:w="534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Бізнес-середовище</w:t>
            </w:r>
          </w:p>
        </w:tc>
        <w:tc>
          <w:tcPr>
            <w:tcW w:w="1985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Економічна дестабілізація</w:t>
            </w:r>
          </w:p>
        </w:tc>
        <w:tc>
          <w:tcPr>
            <w:tcW w:w="3119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Нестабільна економічна та політична ситуація країни</w:t>
            </w:r>
          </w:p>
        </w:tc>
        <w:tc>
          <w:tcPr>
            <w:tcW w:w="3260" w:type="dxa"/>
            <w:shd w:val="clear" w:color="auto" w:fill="auto"/>
          </w:tcPr>
          <w:p w:rsidR="00F067BF" w:rsidRPr="0094798E" w:rsidRDefault="00F067BF" w:rsidP="00865CE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>Підвищення цін, податків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зниження активності бізнесу</w:t>
            </w:r>
          </w:p>
        </w:tc>
        <w:tc>
          <w:tcPr>
            <w:tcW w:w="4252" w:type="dxa"/>
          </w:tcPr>
          <w:p w:rsidR="00F067BF" w:rsidRPr="0094798E" w:rsidRDefault="00F067BF" w:rsidP="00865C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Контроль ризику,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моніторинг</w:t>
            </w:r>
            <w:r w:rsidRPr="0094798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законодавчої бази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 альтернативні умови договорів про співпрацю; пільгові умови для якірних інвесторів</w:t>
            </w:r>
          </w:p>
        </w:tc>
      </w:tr>
    </w:tbl>
    <w:p w:rsidR="00F067BF" w:rsidRPr="00612199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067BF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F067BF" w:rsidSect="0061219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67BF" w:rsidRPr="00163E18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163E18">
        <w:rPr>
          <w:rFonts w:ascii="Times New Roman" w:hAnsi="Times New Roman"/>
          <w:b/>
          <w:sz w:val="26"/>
          <w:szCs w:val="26"/>
          <w:lang w:val="uk-UA"/>
        </w:rPr>
        <w:lastRenderedPageBreak/>
        <w:t>5.1.8</w:t>
      </w:r>
      <w:r w:rsidRPr="00163E18">
        <w:rPr>
          <w:rFonts w:ascii="Times New Roman" w:hAnsi="Times New Roman"/>
          <w:b/>
          <w:sz w:val="26"/>
          <w:szCs w:val="26"/>
          <w:lang w:val="uk-UA"/>
        </w:rPr>
        <w:tab/>
        <w:t>Планові показники рентабельності і ліквідності, розрахунок інтегрованих показників економічної ефективності Проекту – внутрішньої норми рентабельності (IRR), чистої приведеної вартості (NPV), простого та дисконтованого терміну окупності Проекту</w:t>
      </w:r>
    </w:p>
    <w:p w:rsidR="00F067BF" w:rsidRPr="00163E18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63E18">
        <w:rPr>
          <w:rFonts w:ascii="Times New Roman" w:hAnsi="Times New Roman"/>
          <w:sz w:val="26"/>
          <w:szCs w:val="26"/>
          <w:lang w:val="uk-UA"/>
        </w:rPr>
        <w:t>Ефективність інвестиційного проекту визначається на основі співвідношення позитивних і негативних потоків грошових коштів. Оцінка ефективності проекту здійснювалася за допомогою наступних показників: чистий дисконтований дохід ЧДД (</w:t>
      </w:r>
      <w:r w:rsidRPr="00163E18">
        <w:rPr>
          <w:rFonts w:ascii="Times New Roman" w:hAnsi="Times New Roman"/>
          <w:sz w:val="26"/>
          <w:szCs w:val="26"/>
          <w:lang w:val="en-US"/>
        </w:rPr>
        <w:t>net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present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value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NPV</w:t>
      </w:r>
      <w:r w:rsidRPr="00163E18">
        <w:rPr>
          <w:rFonts w:ascii="Times New Roman" w:hAnsi="Times New Roman"/>
          <w:sz w:val="26"/>
          <w:szCs w:val="26"/>
          <w:lang w:val="uk-UA"/>
        </w:rPr>
        <w:t>); індекс прибутковості ІП (</w:t>
      </w:r>
      <w:r w:rsidRPr="00163E18">
        <w:rPr>
          <w:rFonts w:ascii="Times New Roman" w:hAnsi="Times New Roman"/>
          <w:sz w:val="26"/>
          <w:szCs w:val="26"/>
          <w:lang w:val="en-US"/>
        </w:rPr>
        <w:t>profitability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index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PI</w:t>
      </w:r>
      <w:r w:rsidRPr="00163E18">
        <w:rPr>
          <w:rFonts w:ascii="Times New Roman" w:hAnsi="Times New Roman"/>
          <w:sz w:val="26"/>
          <w:szCs w:val="26"/>
          <w:lang w:val="uk-UA"/>
        </w:rPr>
        <w:t>); внутрішня норма прибутковості ВНП (</w:t>
      </w:r>
      <w:r w:rsidRPr="00163E18">
        <w:rPr>
          <w:rFonts w:ascii="Times New Roman" w:hAnsi="Times New Roman"/>
          <w:sz w:val="26"/>
          <w:szCs w:val="26"/>
          <w:lang w:val="en-US"/>
        </w:rPr>
        <w:t>internal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rate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of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return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IRR</w:t>
      </w:r>
      <w:r w:rsidRPr="00163E18">
        <w:rPr>
          <w:rFonts w:ascii="Times New Roman" w:hAnsi="Times New Roman"/>
          <w:sz w:val="26"/>
          <w:szCs w:val="26"/>
          <w:lang w:val="uk-UA"/>
        </w:rPr>
        <w:t>); дисконтований термін окупності (</w:t>
      </w:r>
      <w:r w:rsidRPr="00163E18">
        <w:rPr>
          <w:rFonts w:ascii="Times New Roman" w:hAnsi="Times New Roman"/>
          <w:sz w:val="26"/>
          <w:szCs w:val="26"/>
          <w:lang w:val="en-US"/>
        </w:rPr>
        <w:t>payback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period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PP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) (табл.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163E18">
        <w:rPr>
          <w:rFonts w:ascii="Times New Roman" w:hAnsi="Times New Roman"/>
          <w:sz w:val="26"/>
          <w:szCs w:val="26"/>
          <w:lang w:val="uk-UA"/>
        </w:rPr>
        <w:t>.26).</w:t>
      </w:r>
    </w:p>
    <w:p w:rsidR="00F067BF" w:rsidRPr="00163E18" w:rsidRDefault="00F067BF" w:rsidP="00F067BF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63E18">
        <w:rPr>
          <w:sz w:val="26"/>
          <w:szCs w:val="26"/>
          <w:lang w:val="uk-UA"/>
        </w:rPr>
        <w:t>Таблиця 5.26 – Основні показники ефективності проекту «ІnterMedicalEcoCity»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453"/>
        <w:gridCol w:w="1911"/>
        <w:gridCol w:w="1347"/>
        <w:gridCol w:w="1468"/>
        <w:gridCol w:w="1952"/>
      </w:tblGrid>
      <w:tr w:rsidR="00F067BF" w:rsidRPr="006F5CBA" w:rsidTr="00865CE5">
        <w:tc>
          <w:tcPr>
            <w:tcW w:w="0" w:type="auto"/>
            <w:vMerge w:val="restart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Об</w:t>
            </w:r>
            <w:r w:rsidRPr="006F5CBA">
              <w:rPr>
                <w:lang w:val="en-US"/>
              </w:rPr>
              <w:t>’</w:t>
            </w:r>
            <w:r w:rsidRPr="006F5CBA">
              <w:rPr>
                <w:lang w:val="uk-UA"/>
              </w:rPr>
              <w:t xml:space="preserve">єкт </w:t>
            </w:r>
          </w:p>
        </w:tc>
        <w:tc>
          <w:tcPr>
            <w:tcW w:w="0" w:type="auto"/>
            <w:vMerge w:val="restart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en-US"/>
              </w:rPr>
              <w:t>Горизонт планування</w:t>
            </w:r>
          </w:p>
        </w:tc>
        <w:tc>
          <w:tcPr>
            <w:tcW w:w="0" w:type="auto"/>
            <w:gridSpan w:val="4"/>
          </w:tcPr>
          <w:p w:rsidR="00F067BF" w:rsidRPr="006F5CBA" w:rsidRDefault="00F067BF" w:rsidP="00865CE5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Показники ефективності проекту</w:t>
            </w:r>
          </w:p>
        </w:tc>
      </w:tr>
      <w:tr w:rsidR="00F067BF" w:rsidRPr="006F5CBA" w:rsidTr="00865CE5">
        <w:tc>
          <w:tcPr>
            <w:tcW w:w="0" w:type="auto"/>
            <w:vMerge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  <w:vMerge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Чистий дисконтований дохід (ЧЧД), млн. грн.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Індекс дохідності (ІД)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Внутрішня норма дохідності (ВНД), %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Дисконтований термін окупності (ДТО), років</w:t>
            </w:r>
          </w:p>
        </w:tc>
      </w:tr>
      <w:tr w:rsidR="00F067BF" w:rsidRPr="00F646BF" w:rsidTr="00865CE5">
        <w:tc>
          <w:tcPr>
            <w:tcW w:w="0" w:type="auto"/>
            <w:gridSpan w:val="6"/>
          </w:tcPr>
          <w:p w:rsidR="00F067BF" w:rsidRPr="008A217C" w:rsidRDefault="00F067BF" w:rsidP="00865CE5">
            <w:pPr>
              <w:pStyle w:val="rvps2"/>
              <w:jc w:val="center"/>
              <w:rPr>
                <w:b/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>Міжнародне реабілітаційне містечко «ІnterMedical-EcoCity»</w:t>
            </w:r>
          </w:p>
        </w:tc>
      </w:tr>
      <w:tr w:rsidR="00F067BF" w:rsidRPr="00F646BF" w:rsidTr="00865CE5">
        <w:tc>
          <w:tcPr>
            <w:tcW w:w="0" w:type="auto"/>
            <w:gridSpan w:val="6"/>
          </w:tcPr>
          <w:p w:rsidR="00F067BF" w:rsidRPr="00B45DC6" w:rsidRDefault="00F067BF" w:rsidP="00865CE5">
            <w:pPr>
              <w:pStyle w:val="rvps2"/>
              <w:jc w:val="center"/>
              <w:rPr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>Альтернативний варіант 1.</w:t>
            </w:r>
            <w:r>
              <w:rPr>
                <w:i/>
                <w:lang w:val="uk-UA"/>
              </w:rPr>
              <w:t xml:space="preserve"> Фінансування І черги клініки за кошти бюджету (35%) та залучені кошти приватного інвестора (65%)</w:t>
            </w:r>
          </w:p>
        </w:tc>
      </w:tr>
      <w:tr w:rsidR="00F067BF" w:rsidRPr="00F646BF" w:rsidTr="00865CE5"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26</w:t>
            </w:r>
          </w:p>
        </w:tc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1057,016</w:t>
            </w:r>
          </w:p>
        </w:tc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1,56</w:t>
            </w:r>
          </w:p>
        </w:tc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-</w:t>
            </w:r>
          </w:p>
        </w:tc>
        <w:tc>
          <w:tcPr>
            <w:tcW w:w="0" w:type="auto"/>
          </w:tcPr>
          <w:p w:rsidR="00F067BF" w:rsidRPr="00B45DC6" w:rsidRDefault="00F067BF" w:rsidP="00865CE5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19,6</w:t>
            </w:r>
          </w:p>
        </w:tc>
      </w:tr>
      <w:tr w:rsidR="00F067BF" w:rsidRPr="008A217C" w:rsidTr="00865CE5">
        <w:tc>
          <w:tcPr>
            <w:tcW w:w="0" w:type="auto"/>
            <w:gridSpan w:val="6"/>
          </w:tcPr>
          <w:p w:rsidR="00F067BF" w:rsidRPr="00B45DC6" w:rsidRDefault="00F067BF" w:rsidP="00865CE5">
            <w:pPr>
              <w:pStyle w:val="rvps2"/>
              <w:jc w:val="center"/>
              <w:rPr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 xml:space="preserve">Альтернативний варіант </w:t>
            </w:r>
            <w:r>
              <w:rPr>
                <w:b/>
                <w:i/>
                <w:lang w:val="uk-UA"/>
              </w:rPr>
              <w:t>2</w:t>
            </w:r>
            <w:r w:rsidRPr="008A217C">
              <w:rPr>
                <w:b/>
                <w:i/>
                <w:lang w:val="uk-UA"/>
              </w:rPr>
              <w:t>.</w:t>
            </w:r>
            <w:r>
              <w:rPr>
                <w:i/>
                <w:lang w:val="uk-UA"/>
              </w:rPr>
              <w:t xml:space="preserve"> Фінансування І черги клініки за кошти бюджету (35%) та залучені кошти під державні гарантії – під 2% річних (65%)</w:t>
            </w:r>
          </w:p>
        </w:tc>
      </w:tr>
      <w:tr w:rsidR="00F067BF" w:rsidRPr="00255203" w:rsidTr="00865CE5"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26</w:t>
            </w:r>
          </w:p>
        </w:tc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1774,335</w:t>
            </w:r>
          </w:p>
        </w:tc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1,91</w:t>
            </w:r>
          </w:p>
        </w:tc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-</w:t>
            </w:r>
          </w:p>
        </w:tc>
        <w:tc>
          <w:tcPr>
            <w:tcW w:w="0" w:type="auto"/>
          </w:tcPr>
          <w:p w:rsidR="00F067BF" w:rsidRPr="00255203" w:rsidRDefault="00F067BF" w:rsidP="00865CE5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17,6</w:t>
            </w:r>
            <w:r w:rsidRPr="00255203">
              <w:rPr>
                <w:bCs/>
                <w:lang w:val="uk-UA"/>
              </w:rPr>
              <w:t>6</w:t>
            </w:r>
          </w:p>
        </w:tc>
      </w:tr>
      <w:tr w:rsidR="00F067BF" w:rsidRPr="006F5CBA" w:rsidTr="00865CE5">
        <w:tc>
          <w:tcPr>
            <w:tcW w:w="0" w:type="auto"/>
            <w:gridSpan w:val="6"/>
          </w:tcPr>
          <w:p w:rsidR="00F067BF" w:rsidRPr="006F5CBA" w:rsidRDefault="00F067BF" w:rsidP="00865CE5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Оздоровча зона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Клініка (І черга)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11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174,1168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38,46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6,3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Клініка (ІІ черга)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11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3,172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1,01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17,13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10,9</w:t>
            </w:r>
          </w:p>
        </w:tc>
      </w:tr>
      <w:tr w:rsidR="00F067BF" w:rsidRPr="006F5CBA" w:rsidTr="00865CE5">
        <w:trPr>
          <w:trHeight w:val="70"/>
        </w:trPr>
        <w:tc>
          <w:tcPr>
            <w:tcW w:w="0" w:type="auto"/>
            <w:gridSpan w:val="6"/>
          </w:tcPr>
          <w:p w:rsidR="00F067BF" w:rsidRPr="006F5CBA" w:rsidRDefault="00F067BF" w:rsidP="00865CE5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Оздоровчо-рекреаційна зона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rPr>
                <w:lang w:val="uk-UA"/>
              </w:rPr>
            </w:pPr>
            <w:r w:rsidRPr="006F5CBA">
              <w:rPr>
                <w:lang w:val="uk-UA"/>
              </w:rPr>
              <w:t>Курортний готель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170,287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1,27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21,68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10,0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Санаторій для дітей з батьками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165,6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18,47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14,9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Пансіонат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73,276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1,15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20,89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8,8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Міні-пансіонат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209,583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1,45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27,67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6,3</w:t>
            </w:r>
          </w:p>
        </w:tc>
      </w:tr>
    </w:tbl>
    <w:p w:rsidR="00F067BF" w:rsidRPr="00B710C8" w:rsidRDefault="00F067BF" w:rsidP="00F067BF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br w:type="page"/>
      </w:r>
      <w:r w:rsidRPr="00B710C8">
        <w:rPr>
          <w:sz w:val="26"/>
          <w:szCs w:val="26"/>
          <w:lang w:val="uk-UA"/>
        </w:rPr>
        <w:lastRenderedPageBreak/>
        <w:t>Продовження таблиці 5.26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1"/>
        <w:gridCol w:w="1422"/>
        <w:gridCol w:w="1816"/>
        <w:gridCol w:w="1312"/>
        <w:gridCol w:w="1383"/>
        <w:gridCol w:w="1857"/>
      </w:tblGrid>
      <w:tr w:rsidR="00F067BF" w:rsidRPr="006F5CBA" w:rsidTr="00865CE5">
        <w:tc>
          <w:tcPr>
            <w:tcW w:w="0" w:type="auto"/>
            <w:vMerge w:val="restart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Об</w:t>
            </w:r>
            <w:r w:rsidRPr="006F5CBA">
              <w:rPr>
                <w:lang w:val="en-US"/>
              </w:rPr>
              <w:t>’</w:t>
            </w:r>
            <w:r w:rsidRPr="006F5CBA">
              <w:rPr>
                <w:lang w:val="uk-UA"/>
              </w:rPr>
              <w:t xml:space="preserve">єкт </w:t>
            </w:r>
          </w:p>
        </w:tc>
        <w:tc>
          <w:tcPr>
            <w:tcW w:w="0" w:type="auto"/>
            <w:vMerge w:val="restart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en-US"/>
              </w:rPr>
              <w:t>Горизонт планування</w:t>
            </w:r>
          </w:p>
        </w:tc>
        <w:tc>
          <w:tcPr>
            <w:tcW w:w="0" w:type="auto"/>
            <w:gridSpan w:val="4"/>
          </w:tcPr>
          <w:p w:rsidR="00F067BF" w:rsidRPr="006F5CBA" w:rsidRDefault="00F067BF" w:rsidP="00865CE5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Показники ефективності проекту</w:t>
            </w:r>
          </w:p>
        </w:tc>
      </w:tr>
      <w:tr w:rsidR="00F067BF" w:rsidRPr="006F5CBA" w:rsidTr="00865CE5">
        <w:tc>
          <w:tcPr>
            <w:tcW w:w="0" w:type="auto"/>
            <w:vMerge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  <w:vMerge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Чистий дисконтований дохід (ЧЧД), млн. грн.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Індекс дохідності (ІД)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Внутрішня норма дохідності (ВНД), %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Дисконтований термін окупності (ДТО), років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Молодіжний табір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25,311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1,62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33,84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5,0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Розважальний центр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153,759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2,18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54,88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3,9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Етнокомплекс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159,860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28,05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6,2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Басейн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23,294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1,23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29,62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6,9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Коледж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</w:t>
            </w:r>
          </w:p>
        </w:tc>
        <w:tc>
          <w:tcPr>
            <w:tcW w:w="0" w:type="auto"/>
            <w:gridSpan w:val="4"/>
          </w:tcPr>
          <w:p w:rsidR="00F067BF" w:rsidRPr="006F5CBA" w:rsidRDefault="00F067BF" w:rsidP="00865CE5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Працює на принципах самоокупності</w:t>
            </w:r>
          </w:p>
        </w:tc>
      </w:tr>
      <w:tr w:rsidR="00F067BF" w:rsidRPr="006F5CBA" w:rsidTr="00865CE5">
        <w:tc>
          <w:tcPr>
            <w:tcW w:w="0" w:type="auto"/>
            <w:gridSpan w:val="6"/>
          </w:tcPr>
          <w:p w:rsidR="00F067BF" w:rsidRPr="006F5CBA" w:rsidRDefault="00F067BF" w:rsidP="00865CE5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Парково-громадська зона</w:t>
            </w:r>
          </w:p>
        </w:tc>
      </w:tr>
      <w:tr w:rsidR="00F067BF" w:rsidRPr="006F5CBA" w:rsidTr="00865CE5">
        <w:tc>
          <w:tcPr>
            <w:tcW w:w="0" w:type="auto"/>
            <w:gridSpan w:val="6"/>
          </w:tcPr>
          <w:p w:rsidR="00F067BF" w:rsidRPr="006F5CBA" w:rsidRDefault="00F067BF" w:rsidP="00865CE5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Паркова зона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Аквапарк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3,336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3,02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84,63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3,0</w:t>
            </w:r>
          </w:p>
        </w:tc>
      </w:tr>
      <w:tr w:rsidR="00F067BF" w:rsidRPr="006F5CBA" w:rsidTr="00865CE5">
        <w:tc>
          <w:tcPr>
            <w:tcW w:w="0" w:type="auto"/>
            <w:gridSpan w:val="6"/>
          </w:tcPr>
          <w:p w:rsidR="00F067BF" w:rsidRPr="006F5CBA" w:rsidRDefault="00F067BF" w:rsidP="00865CE5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Громадська зона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7,256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40,68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5,1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Спортивний центр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4,764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35,19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6,2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Торгово-виставковий центр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7,479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1,18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28,07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7,6</w:t>
            </w:r>
          </w:p>
        </w:tc>
      </w:tr>
      <w:tr w:rsidR="00F067BF" w:rsidRPr="006F5CBA" w:rsidTr="00865CE5"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Тематичні парки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2,692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1,06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24,70</w:t>
            </w:r>
          </w:p>
        </w:tc>
        <w:tc>
          <w:tcPr>
            <w:tcW w:w="0" w:type="auto"/>
          </w:tcPr>
          <w:p w:rsidR="00F067BF" w:rsidRPr="006F5CBA" w:rsidRDefault="00F067BF" w:rsidP="00865CE5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8,9</w:t>
            </w:r>
          </w:p>
        </w:tc>
      </w:tr>
    </w:tbl>
    <w:p w:rsidR="00F067BF" w:rsidRPr="00B710C8" w:rsidRDefault="00F067BF" w:rsidP="00F067B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710C8">
        <w:rPr>
          <w:rFonts w:ascii="Times New Roman" w:hAnsi="Times New Roman"/>
          <w:sz w:val="26"/>
          <w:szCs w:val="26"/>
          <w:lang w:val="uk-UA"/>
        </w:rPr>
        <w:t>За першим альтернативним варіантом показники ефективності проекту створення Міжнародного реабілітаційного містечка «ІnterMedical-EcoCity» для держави становлять: при горизонті планування у 26 років держава поверне вкладені інвестиції у розмірі 2913,915 млн. грн. через 19,6 років і на кожну інвестовану гривню отримає 0,56 грн. чистого прибутку, чистий дисконтований дохід держави через 26 років складе 1 057,016 млн. грн.</w:t>
      </w:r>
    </w:p>
    <w:p w:rsidR="00F067BF" w:rsidRPr="00B710C8" w:rsidRDefault="00F067BF" w:rsidP="00F067BF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B710C8">
        <w:rPr>
          <w:sz w:val="26"/>
          <w:szCs w:val="26"/>
          <w:lang w:val="uk-UA"/>
        </w:rPr>
        <w:t>За другим альтернативним варіантом значення показників ефективності проекту для держави дорівнюють: при горизонті планування у 26 років держава поверне вкладені інвестиції у розмірі 3170,744 млн. грн. через 17,66 років і на кожну інвестовану гривню отримає 0,91 грн. чистого прибутку, чистий дисконтований дохід держави через 26 років складе 1 774,335 млн. грн.</w:t>
      </w:r>
    </w:p>
    <w:p w:rsidR="00000000" w:rsidRPr="00F067BF" w:rsidRDefault="00F067BF">
      <w:pPr>
        <w:rPr>
          <w:lang w:val="uk-UA"/>
        </w:rPr>
      </w:pPr>
    </w:p>
    <w:sectPr w:rsidR="00000000" w:rsidRPr="00F06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59" w:rsidRDefault="00F067B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358</w:t>
    </w:r>
    <w:r>
      <w:fldChar w:fldCharType="end"/>
    </w:r>
  </w:p>
  <w:p w:rsidR="00BB406B" w:rsidRDefault="00F067B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C3"/>
    <w:multiLevelType w:val="multilevel"/>
    <w:tmpl w:val="1A88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E72657"/>
    <w:multiLevelType w:val="multilevel"/>
    <w:tmpl w:val="1B8C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B172A"/>
    <w:multiLevelType w:val="multilevel"/>
    <w:tmpl w:val="A8D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F0D62"/>
    <w:multiLevelType w:val="hybridMultilevel"/>
    <w:tmpl w:val="F434085C"/>
    <w:lvl w:ilvl="0" w:tplc="8454FEA6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8B31713"/>
    <w:multiLevelType w:val="multilevel"/>
    <w:tmpl w:val="F04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A0F11"/>
    <w:multiLevelType w:val="multilevel"/>
    <w:tmpl w:val="5AF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5EF3"/>
    <w:multiLevelType w:val="hybridMultilevel"/>
    <w:tmpl w:val="0B1EE7B0"/>
    <w:lvl w:ilvl="0" w:tplc="93C67CD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D780A"/>
    <w:multiLevelType w:val="multilevel"/>
    <w:tmpl w:val="F4AAE11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2">
    <w:nsid w:val="3BB72C9C"/>
    <w:multiLevelType w:val="multilevel"/>
    <w:tmpl w:val="3E9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96124"/>
    <w:multiLevelType w:val="multilevel"/>
    <w:tmpl w:val="E1B8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D94CCE"/>
    <w:multiLevelType w:val="hybridMultilevel"/>
    <w:tmpl w:val="C6E00028"/>
    <w:lvl w:ilvl="0" w:tplc="569E67F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6F40531"/>
    <w:multiLevelType w:val="multilevel"/>
    <w:tmpl w:val="BD98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A3C7C"/>
    <w:multiLevelType w:val="multilevel"/>
    <w:tmpl w:val="46B0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8022D3"/>
    <w:multiLevelType w:val="hybridMultilevel"/>
    <w:tmpl w:val="415CF42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B026952"/>
    <w:multiLevelType w:val="multilevel"/>
    <w:tmpl w:val="5F4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C90C91"/>
    <w:multiLevelType w:val="multilevel"/>
    <w:tmpl w:val="979CD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DF32D5"/>
    <w:multiLevelType w:val="multilevel"/>
    <w:tmpl w:val="C7AE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1"/>
  </w:num>
  <w:num w:numId="5">
    <w:abstractNumId w:val="14"/>
  </w:num>
  <w:num w:numId="6">
    <w:abstractNumId w:val="4"/>
  </w:num>
  <w:num w:numId="7">
    <w:abstractNumId w:val="10"/>
  </w:num>
  <w:num w:numId="8">
    <w:abstractNumId w:val="18"/>
  </w:num>
  <w:num w:numId="9">
    <w:abstractNumId w:val="19"/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15"/>
  </w:num>
  <w:num w:numId="13">
    <w:abstractNumId w:val="20"/>
  </w:num>
  <w:num w:numId="14">
    <w:abstractNumId w:val="7"/>
  </w:num>
  <w:num w:numId="15">
    <w:abstractNumId w:val="2"/>
  </w:num>
  <w:num w:numId="16">
    <w:abstractNumId w:val="16"/>
  </w:num>
  <w:num w:numId="17">
    <w:abstractNumId w:val="6"/>
  </w:num>
  <w:num w:numId="18">
    <w:abstractNumId w:val="0"/>
  </w:num>
  <w:num w:numId="19">
    <w:abstractNumId w:val="8"/>
  </w:num>
  <w:num w:numId="20">
    <w:abstractNumId w:val="1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F067BF"/>
    <w:rsid w:val="00F0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67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6">
    <w:name w:val="heading 6"/>
    <w:basedOn w:val="a"/>
    <w:next w:val="a"/>
    <w:link w:val="60"/>
    <w:semiHidden/>
    <w:unhideWhenUsed/>
    <w:qFormat/>
    <w:rsid w:val="00F067BF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7BF"/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customStyle="1" w:styleId="60">
    <w:name w:val="Заголовок 6 Знак"/>
    <w:basedOn w:val="a0"/>
    <w:link w:val="6"/>
    <w:semiHidden/>
    <w:rsid w:val="00F067BF"/>
    <w:rPr>
      <w:rFonts w:ascii="Calibri" w:eastAsia="Times New Roman" w:hAnsi="Calibri" w:cs="Times New Roman"/>
      <w:b/>
      <w:bCs/>
      <w:lang w:eastAsia="en-US"/>
    </w:rPr>
  </w:style>
  <w:style w:type="character" w:styleId="a3">
    <w:name w:val="Strong"/>
    <w:uiPriority w:val="22"/>
    <w:qFormat/>
    <w:rsid w:val="00F067BF"/>
    <w:rPr>
      <w:b/>
      <w:bCs/>
    </w:rPr>
  </w:style>
  <w:style w:type="paragraph" w:styleId="a4">
    <w:name w:val="Normal (Web)"/>
    <w:basedOn w:val="a"/>
    <w:uiPriority w:val="99"/>
    <w:rsid w:val="00F06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F067B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F06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F067B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F067BF"/>
    <w:rPr>
      <w:rFonts w:cs="Times New Roman"/>
    </w:rPr>
  </w:style>
  <w:style w:type="character" w:customStyle="1" w:styleId="rvts23">
    <w:name w:val="rvts23"/>
    <w:basedOn w:val="a0"/>
    <w:rsid w:val="00F067BF"/>
  </w:style>
  <w:style w:type="character" w:styleId="a6">
    <w:name w:val="Hyperlink"/>
    <w:uiPriority w:val="99"/>
    <w:rsid w:val="00F067BF"/>
    <w:rPr>
      <w:color w:val="0000FF"/>
      <w:u w:val="single"/>
    </w:rPr>
  </w:style>
  <w:style w:type="character" w:customStyle="1" w:styleId="spelle">
    <w:name w:val="spelle"/>
    <w:basedOn w:val="a0"/>
    <w:rsid w:val="00F067BF"/>
  </w:style>
  <w:style w:type="character" w:customStyle="1" w:styleId="hps">
    <w:name w:val="hps"/>
    <w:basedOn w:val="a0"/>
    <w:rsid w:val="00F067BF"/>
  </w:style>
  <w:style w:type="paragraph" w:styleId="a7">
    <w:name w:val="header"/>
    <w:basedOn w:val="a"/>
    <w:link w:val="a8"/>
    <w:uiPriority w:val="99"/>
    <w:rsid w:val="00F067BF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F067BF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rsid w:val="00F067BF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rsid w:val="00F067BF"/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99"/>
    <w:qFormat/>
    <w:rsid w:val="00F067B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9">
    <w:name w:val="rvts9"/>
    <w:basedOn w:val="a0"/>
    <w:rsid w:val="00F067BF"/>
  </w:style>
  <w:style w:type="character" w:customStyle="1" w:styleId="apple-converted-space">
    <w:name w:val="apple-converted-space"/>
    <w:basedOn w:val="a0"/>
    <w:rsid w:val="00F067BF"/>
  </w:style>
  <w:style w:type="paragraph" w:customStyle="1" w:styleId="rvps14">
    <w:name w:val="rvps14"/>
    <w:basedOn w:val="a"/>
    <w:rsid w:val="00F06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F06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F067BF"/>
  </w:style>
  <w:style w:type="character" w:customStyle="1" w:styleId="rvts96">
    <w:name w:val="rvts96"/>
    <w:basedOn w:val="a0"/>
    <w:rsid w:val="00F067BF"/>
  </w:style>
  <w:style w:type="character" w:styleId="ac">
    <w:name w:val="Emphasis"/>
    <w:uiPriority w:val="20"/>
    <w:qFormat/>
    <w:rsid w:val="00F067BF"/>
    <w:rPr>
      <w:i/>
      <w:iCs/>
    </w:rPr>
  </w:style>
  <w:style w:type="character" w:customStyle="1" w:styleId="small">
    <w:name w:val="small"/>
    <w:basedOn w:val="a0"/>
    <w:rsid w:val="00F067BF"/>
  </w:style>
  <w:style w:type="character" w:customStyle="1" w:styleId="horizontaldim">
    <w:name w:val="horizontaldim"/>
    <w:basedOn w:val="a0"/>
    <w:rsid w:val="00F067BF"/>
  </w:style>
  <w:style w:type="character" w:customStyle="1" w:styleId="verticaldim">
    <w:name w:val="verticaldim"/>
    <w:basedOn w:val="a0"/>
    <w:rsid w:val="00F067BF"/>
  </w:style>
  <w:style w:type="paragraph" w:customStyle="1" w:styleId="sm1black">
    <w:name w:val="sm1black"/>
    <w:basedOn w:val="a"/>
    <w:rsid w:val="00F06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1black1">
    <w:name w:val="sm1black1"/>
    <w:basedOn w:val="a0"/>
    <w:rsid w:val="00F067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1.rada.gov.ua/laws/show/4495-17/paran4657" TargetMode="External"/><Relationship Id="rId13" Type="http://schemas.openxmlformats.org/officeDocument/2006/relationships/hyperlink" Target="http://epp.eurostat.ec.europa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1.rada.gov.ua/laws/show/4495-17/paran4657" TargetMode="External"/><Relationship Id="rId12" Type="http://schemas.openxmlformats.org/officeDocument/2006/relationships/hyperlink" Target="http://www.usinflationcalculator.com/inflation/current-inflation-rate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5205-17/paran3" TargetMode="External"/><Relationship Id="rId11" Type="http://schemas.openxmlformats.org/officeDocument/2006/relationships/hyperlink" Target="http://zakon1.rada.gov.ua/laws/show/2755-17/paran2502" TargetMode="External"/><Relationship Id="rId5" Type="http://schemas.openxmlformats.org/officeDocument/2006/relationships/header" Target="header1.xml"/><Relationship Id="rId15" Type="http://schemas.openxmlformats.org/officeDocument/2006/relationships/fontTable" Target="fontTable.xml"/><Relationship Id="rId10" Type="http://schemas.openxmlformats.org/officeDocument/2006/relationships/hyperlink" Target="http://zakon1.rada.gov.ua/laws/show/5205-17/paran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1.rada.gov.ua/laws/show/5205-17/paran3" TargetMode="External"/><Relationship Id="rId14" Type="http://schemas.openxmlformats.org/officeDocument/2006/relationships/hyperlink" Target="http://zakon4.rada.gov.ua/laws/show/404-2013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11991</Words>
  <Characters>68351</Characters>
  <Application>Microsoft Office Word</Application>
  <DocSecurity>0</DocSecurity>
  <Lines>569</Lines>
  <Paragraphs>160</Paragraphs>
  <ScaleCrop>false</ScaleCrop>
  <Company/>
  <LinksUpToDate>false</LinksUpToDate>
  <CharactersWithSpaces>80182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2013-08-08T11:09:00Z</dcterms:created>
  <dcterms:modified xsi:type="dcterms:W3CDTF">2013-08-08T11:09:00Z</dcterms:modified>
</cp:coreProperties>
</file>