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297" w:rsidRDefault="00BC5297" w:rsidP="00BC5297">
      <w:pPr>
        <w:spacing w:after="0" w:line="360" w:lineRule="auto"/>
        <w:ind w:firstLine="708"/>
        <w:jc w:val="both"/>
        <w:rPr>
          <w:rFonts w:ascii="Times New Roman" w:hAnsi="Times New Roman"/>
          <w:b/>
          <w:i/>
          <w:sz w:val="26"/>
          <w:szCs w:val="26"/>
          <w:lang w:val="uk-UA"/>
        </w:rPr>
      </w:pPr>
      <w:r>
        <w:rPr>
          <w:rFonts w:ascii="Times New Roman" w:hAnsi="Times New Roman"/>
          <w:b/>
          <w:i/>
          <w:sz w:val="26"/>
          <w:szCs w:val="26"/>
          <w:lang w:val="uk-UA"/>
        </w:rPr>
        <w:t xml:space="preserve">4.1.2.5. Потужність інженерних мереж </w:t>
      </w:r>
    </w:p>
    <w:p w:rsidR="00BC5297" w:rsidRDefault="00BC5297" w:rsidP="00BC5297">
      <w:pPr>
        <w:spacing w:after="0" w:line="360" w:lineRule="auto"/>
        <w:ind w:firstLine="708"/>
        <w:jc w:val="both"/>
        <w:rPr>
          <w:rFonts w:ascii="Times New Roman" w:hAnsi="Times New Roman"/>
          <w:b/>
          <w:i/>
          <w:sz w:val="26"/>
          <w:szCs w:val="26"/>
          <w:lang w:val="uk-UA"/>
        </w:rPr>
      </w:pPr>
    </w:p>
    <w:p w:rsidR="00BC5297" w:rsidRDefault="00BC5297" w:rsidP="00BC5297">
      <w:pPr>
        <w:spacing w:after="0" w:line="360" w:lineRule="auto"/>
        <w:jc w:val="center"/>
        <w:rPr>
          <w:rFonts w:ascii="Times New Roman" w:hAnsi="Times New Roman"/>
          <w:i/>
          <w:sz w:val="26"/>
          <w:szCs w:val="26"/>
          <w:lang w:val="uk-UA"/>
        </w:rPr>
      </w:pPr>
      <w:r>
        <w:rPr>
          <w:rFonts w:ascii="Times New Roman" w:hAnsi="Times New Roman"/>
          <w:i/>
          <w:sz w:val="26"/>
          <w:szCs w:val="26"/>
          <w:lang w:val="uk-UA"/>
        </w:rPr>
        <w:t>Водопостачання і каналізація</w:t>
      </w:r>
    </w:p>
    <w:p w:rsidR="00BC5297" w:rsidRDefault="00BC5297" w:rsidP="00BC5297">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Забудову території Міста майбутнього „InterMedicalEcoCiti” що проектуються передбачається обладнати системами водопостачання та каналізації.</w:t>
      </w:r>
    </w:p>
    <w:p w:rsidR="00BC5297" w:rsidRDefault="00BC5297" w:rsidP="00BC5297">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Потреба у воді питної якості території, що проектується складе </w:t>
      </w:r>
      <w:smartTag w:uri="urn:schemas-microsoft-com:office:smarttags" w:element="metricconverter">
        <w:smartTagPr>
          <w:attr w:name="ProductID" w:val="3861,21 м3"/>
        </w:smartTagPr>
        <w:r>
          <w:rPr>
            <w:rFonts w:ascii="Times New Roman" w:hAnsi="Times New Roman"/>
            <w:sz w:val="26"/>
            <w:szCs w:val="26"/>
            <w:lang w:val="uk-UA"/>
          </w:rPr>
          <w:t>3861,21 м</w:t>
        </w:r>
        <w:r>
          <w:rPr>
            <w:rFonts w:ascii="Times New Roman" w:hAnsi="Times New Roman"/>
            <w:sz w:val="26"/>
            <w:szCs w:val="26"/>
            <w:vertAlign w:val="superscript"/>
            <w:lang w:val="uk-UA"/>
          </w:rPr>
          <w:t>3</w:t>
        </w:r>
      </w:smartTag>
      <w:r>
        <w:rPr>
          <w:rFonts w:ascii="Times New Roman" w:hAnsi="Times New Roman"/>
          <w:sz w:val="26"/>
          <w:szCs w:val="26"/>
          <w:lang w:val="uk-UA"/>
        </w:rPr>
        <w:t xml:space="preserve"> за максимальну добу; </w:t>
      </w:r>
      <w:r>
        <w:rPr>
          <w:rFonts w:ascii="Times New Roman" w:eastAsia="MS Mincho" w:hAnsi="Times New Roman"/>
          <w:sz w:val="26"/>
          <w:szCs w:val="26"/>
          <w:lang w:val="uk-UA"/>
        </w:rPr>
        <w:t xml:space="preserve">технічної води на зрошення і поливання територій </w:t>
      </w:r>
      <w:smartTag w:uri="urn:schemas-microsoft-com:office:smarttags" w:element="metricconverter">
        <w:smartTagPr>
          <w:attr w:name="ProductID" w:val="4058,56 м3"/>
        </w:smartTagPr>
        <w:r>
          <w:rPr>
            <w:rFonts w:ascii="Times New Roman" w:hAnsi="Times New Roman"/>
            <w:sz w:val="26"/>
            <w:szCs w:val="26"/>
            <w:lang w:val="uk-UA"/>
          </w:rPr>
          <w:t>4058,56 м</w:t>
        </w:r>
        <w:r>
          <w:rPr>
            <w:rFonts w:ascii="Times New Roman" w:hAnsi="Times New Roman"/>
            <w:sz w:val="26"/>
            <w:szCs w:val="26"/>
            <w:vertAlign w:val="superscript"/>
            <w:lang w:val="uk-UA"/>
          </w:rPr>
          <w:t>3</w:t>
        </w:r>
      </w:smartTag>
      <w:r>
        <w:rPr>
          <w:rFonts w:ascii="Times New Roman" w:hAnsi="Times New Roman"/>
          <w:sz w:val="26"/>
          <w:szCs w:val="26"/>
          <w:lang w:val="uk-UA"/>
        </w:rPr>
        <w:t xml:space="preserve"> за максимальну добу (ДБН 360-92**). Розрахунки по групах водокористувачів наведені у таблиці нижче.</w:t>
      </w:r>
    </w:p>
    <w:p w:rsidR="00BC5297" w:rsidRDefault="00BC5297" w:rsidP="00BC5297">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Покриття розрахункової потреби у воді питної якості передбачається із підземних джерел. За гідрогеологічними умовами основним водоносним горизонтом в районі детального планування території є горизонт верхньоміоценових відкладів. Глибина залягання комплексу 70 - </w:t>
      </w:r>
      <w:smartTag w:uri="urn:schemas-microsoft-com:office:smarttags" w:element="metricconverter">
        <w:smartTagPr>
          <w:attr w:name="ProductID" w:val="120 м"/>
        </w:smartTagPr>
        <w:r>
          <w:rPr>
            <w:rFonts w:ascii="Times New Roman" w:hAnsi="Times New Roman"/>
            <w:sz w:val="26"/>
            <w:szCs w:val="26"/>
            <w:lang w:val="uk-UA"/>
          </w:rPr>
          <w:t>120 м</w:t>
        </w:r>
      </w:smartTag>
      <w:r>
        <w:rPr>
          <w:rFonts w:ascii="Times New Roman" w:hAnsi="Times New Roman"/>
          <w:sz w:val="26"/>
          <w:szCs w:val="26"/>
          <w:lang w:val="uk-UA"/>
        </w:rPr>
        <w:t>, максимальний дебіт свердловин, що експлуатуються - 5-18 л/с, горизонт надзвичайно водоємний. Води гідрокарбонатні, з мінералізацією до 0,9 г/л. Розрахункова продуктивність свердловин за 20 годин за добу та дебіту 12 л/с – 0,86 тис. м</w:t>
      </w:r>
      <w:r>
        <w:rPr>
          <w:rFonts w:ascii="Times New Roman" w:hAnsi="Times New Roman"/>
          <w:sz w:val="26"/>
          <w:szCs w:val="26"/>
          <w:vertAlign w:val="superscript"/>
          <w:lang w:val="uk-UA"/>
        </w:rPr>
        <w:t>3</w:t>
      </w:r>
      <w:r>
        <w:rPr>
          <w:rFonts w:ascii="Times New Roman" w:hAnsi="Times New Roman"/>
          <w:sz w:val="26"/>
          <w:szCs w:val="26"/>
          <w:lang w:val="uk-UA"/>
        </w:rPr>
        <w:t>/добу.</w:t>
      </w:r>
    </w:p>
    <w:p w:rsidR="00BC5297" w:rsidRDefault="00BC5297" w:rsidP="00BC5297">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Для забезпечення водою питної якості території Міста майбутнього „InterMedicalEcoCiti” проектом передбачається будівництво двох окремих систем питного водопостачання. Для зони № I проектуються дві ділянки водопровідних споруд та 4 свердловини. Для зон № II та №III проектується одна ділянка водопровідних споруд і одна артезіанська свердловина. Зона санітарної охорони першого поясу підземних джерел </w:t>
      </w:r>
      <w:smartTag w:uri="urn:schemas-microsoft-com:office:smarttags" w:element="metricconverter">
        <w:smartTagPr>
          <w:attr w:name="ProductID" w:val="30 м"/>
        </w:smartTagPr>
        <w:r>
          <w:rPr>
            <w:rFonts w:ascii="Times New Roman" w:hAnsi="Times New Roman"/>
            <w:sz w:val="26"/>
            <w:szCs w:val="26"/>
            <w:lang w:val="uk-UA"/>
          </w:rPr>
          <w:t>30 м</w:t>
        </w:r>
      </w:smartTag>
      <w:r>
        <w:rPr>
          <w:rFonts w:ascii="Times New Roman" w:hAnsi="Times New Roman"/>
          <w:sz w:val="26"/>
          <w:szCs w:val="26"/>
          <w:lang w:val="uk-UA"/>
        </w:rPr>
        <w:t>, другий та третій пояси розраховуються на стадії робочого проектування водозабору. На кожній ділянці передбачаються напірно-регулюючі резервуари, споруди знезаражування та поліпшення якості води (при необхідності), будівництво насосної станції II підйому.</w:t>
      </w:r>
    </w:p>
    <w:p w:rsidR="00BC5297" w:rsidRDefault="00BC5297" w:rsidP="00BC5297">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Водопровідні мережі території проектується кільцевими, протипожежними низького тиску. Гасіння пожеж передбачається через гідранти, що встановленні на кільцевій мережі та забезпечують гасіння кожної будівлі з двох гідрантів.</w:t>
      </w:r>
    </w:p>
    <w:p w:rsidR="00BC5297" w:rsidRDefault="00BC5297" w:rsidP="00BC5297">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Розрахункові протипожежні витрати для зони № I при двох розрахункових пожежах –15 л/с на зовнішнє і 2×5,0 л/с на внутрішнє пожежjгасіння, 28,8 л/с - на автоматичне пожежогасіння, що у підсумку складає </w:t>
      </w:r>
      <w:smartTag w:uri="urn:schemas-microsoft-com:office:smarttags" w:element="metricconverter">
        <w:smartTagPr>
          <w:attr w:name="ProductID" w:val="536 м3"/>
        </w:smartTagPr>
        <w:r>
          <w:rPr>
            <w:rFonts w:ascii="Times New Roman" w:hAnsi="Times New Roman"/>
            <w:sz w:val="26"/>
            <w:szCs w:val="26"/>
            <w:lang w:val="uk-UA"/>
          </w:rPr>
          <w:t>536 м</w:t>
        </w:r>
        <w:r>
          <w:rPr>
            <w:rFonts w:ascii="Times New Roman" w:hAnsi="Times New Roman"/>
            <w:sz w:val="26"/>
            <w:szCs w:val="26"/>
            <w:vertAlign w:val="superscript"/>
            <w:lang w:val="uk-UA"/>
          </w:rPr>
          <w:t>3</w:t>
        </w:r>
      </w:smartTag>
      <w:r>
        <w:rPr>
          <w:rFonts w:ascii="Times New Roman" w:hAnsi="Times New Roman"/>
          <w:sz w:val="26"/>
          <w:szCs w:val="26"/>
          <w:lang w:val="uk-UA"/>
        </w:rPr>
        <w:t>.</w:t>
      </w:r>
    </w:p>
    <w:p w:rsidR="00BC5297" w:rsidRDefault="00BC5297" w:rsidP="00BC5297">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lastRenderedPageBreak/>
        <w:t xml:space="preserve">Розрахунковий протипожежний об’єм для зон № II та №III складає </w:t>
      </w:r>
      <w:smartTag w:uri="urn:schemas-microsoft-com:office:smarttags" w:element="metricconverter">
        <w:smartTagPr>
          <w:attr w:name="ProductID" w:val="428 м3"/>
        </w:smartTagPr>
        <w:r>
          <w:rPr>
            <w:rFonts w:ascii="Times New Roman" w:hAnsi="Times New Roman"/>
            <w:sz w:val="26"/>
            <w:szCs w:val="26"/>
            <w:lang w:val="uk-UA"/>
          </w:rPr>
          <w:t>428 м</w:t>
        </w:r>
        <w:r>
          <w:rPr>
            <w:rFonts w:ascii="Times New Roman" w:hAnsi="Times New Roman"/>
            <w:sz w:val="26"/>
            <w:szCs w:val="26"/>
            <w:vertAlign w:val="superscript"/>
            <w:lang w:val="uk-UA"/>
          </w:rPr>
          <w:t>3</w:t>
        </w:r>
      </w:smartTag>
      <w:r>
        <w:rPr>
          <w:rFonts w:ascii="Times New Roman" w:hAnsi="Times New Roman"/>
          <w:sz w:val="26"/>
          <w:szCs w:val="26"/>
          <w:lang w:val="uk-UA"/>
        </w:rPr>
        <w:t>, при витратах на зовнішнє пожежогасіння - 20 л/с, на внутрішнє пожежогасіння - 2×5,0 л/с, на автоматичне пожежогасіння – 28,8 л/с.</w:t>
      </w:r>
    </w:p>
    <w:p w:rsidR="00BC5297" w:rsidRDefault="00BC5297" w:rsidP="00BC5297">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Норми витрат прийняти у відповідності зі СНиП 2.04.02-84, СНиП 2.04.01-85.</w:t>
      </w:r>
    </w:p>
    <w:p w:rsidR="00BC5297" w:rsidRDefault="00BC5297" w:rsidP="00BC5297">
      <w:pPr>
        <w:spacing w:after="0" w:line="360" w:lineRule="auto"/>
        <w:ind w:firstLine="709"/>
        <w:jc w:val="both"/>
        <w:rPr>
          <w:rFonts w:ascii="Times New Roman" w:hAnsi="Times New Roman"/>
          <w:sz w:val="26"/>
          <w:szCs w:val="26"/>
          <w:lang w:val="uk-UA"/>
        </w:rPr>
      </w:pPr>
      <w:r>
        <w:rPr>
          <w:rFonts w:ascii="Times New Roman" w:eastAsia="MS Mincho" w:hAnsi="Times New Roman"/>
          <w:sz w:val="26"/>
          <w:szCs w:val="26"/>
          <w:lang w:val="uk-UA"/>
        </w:rPr>
        <w:t>Для поливання і миття територій рекомендується улаштування локальних водозаборів з використанням поверхневих та ґрунтових вод.</w:t>
      </w:r>
      <w:r>
        <w:rPr>
          <w:rFonts w:ascii="Times New Roman" w:hAnsi="Times New Roman"/>
          <w:sz w:val="26"/>
          <w:szCs w:val="26"/>
          <w:lang w:val="uk-UA"/>
        </w:rPr>
        <w:t xml:space="preserve"> Використання води з комунального водопроводу на потреби поливання та миття передбачається тільки для територій, до санітарного стану яких ставляться підвищені вимоги (дитячі установи, лікарні тощо).</w:t>
      </w:r>
    </w:p>
    <w:p w:rsidR="00BC5297" w:rsidRDefault="00BC5297" w:rsidP="00BC5297">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Відповідно до розрахунків, об’єм побутових стічних вод складе 3738,81 м</w:t>
      </w:r>
      <w:r>
        <w:rPr>
          <w:rFonts w:ascii="Times New Roman" w:hAnsi="Times New Roman"/>
          <w:sz w:val="26"/>
          <w:szCs w:val="26"/>
          <w:vertAlign w:val="superscript"/>
          <w:lang w:val="uk-UA"/>
        </w:rPr>
        <w:t>3</w:t>
      </w:r>
      <w:r>
        <w:rPr>
          <w:rFonts w:ascii="Times New Roman" w:hAnsi="Times New Roman"/>
          <w:sz w:val="26"/>
          <w:szCs w:val="26"/>
          <w:lang w:val="uk-UA"/>
        </w:rPr>
        <w:t xml:space="preserve"> за максимальну добу (ДБН 360-92**).</w:t>
      </w:r>
    </w:p>
    <w:p w:rsidR="00BC5297" w:rsidRDefault="00BC5297" w:rsidP="00BC5297">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Відведення побутових стічних вод зони № I передбачається самопливними колекторами до каналізаційної насосної станції, яка напірним трубопроводом буде перекачувати їх за межі території, що проектується на каналізаційні очисні споруди (КОС). Для зони № I передбачається будівництво очисних споруд продуктивністю 3,00 тис. м</w:t>
      </w:r>
      <w:r>
        <w:rPr>
          <w:rFonts w:ascii="Times New Roman" w:hAnsi="Times New Roman"/>
          <w:sz w:val="26"/>
          <w:szCs w:val="26"/>
          <w:vertAlign w:val="superscript"/>
          <w:lang w:val="uk-UA"/>
        </w:rPr>
        <w:t>3</w:t>
      </w:r>
      <w:r>
        <w:rPr>
          <w:rFonts w:ascii="Times New Roman" w:hAnsi="Times New Roman"/>
          <w:sz w:val="26"/>
          <w:szCs w:val="26"/>
          <w:lang w:val="uk-UA"/>
        </w:rPr>
        <w:t xml:space="preserve">/добу. Орієнтовне місце розміщення – ділянка площею </w:t>
      </w:r>
      <w:smartTag w:uri="urn:schemas-microsoft-com:office:smarttags" w:element="metricconverter">
        <w:smartTagPr>
          <w:attr w:name="ProductID" w:val="2 га"/>
        </w:smartTagPr>
        <w:r>
          <w:rPr>
            <w:rFonts w:ascii="Times New Roman" w:hAnsi="Times New Roman"/>
            <w:sz w:val="26"/>
            <w:szCs w:val="26"/>
            <w:lang w:val="uk-UA"/>
          </w:rPr>
          <w:t>2 га</w:t>
        </w:r>
      </w:smartTag>
      <w:r>
        <w:rPr>
          <w:rFonts w:ascii="Times New Roman" w:hAnsi="Times New Roman"/>
          <w:sz w:val="26"/>
          <w:szCs w:val="26"/>
          <w:lang w:val="uk-UA"/>
        </w:rPr>
        <w:t>, відведена під будівництво очисних споруд каналізації в районі існуючих очисних споруд ДОТ „Альбатрос”. Очисні споруди мають забезпечити відновлення якості води, її природної структури та біологічної активності і можливість подальшого використання. Відновлення якості води може здійснюватися як за традиційною схемою - глибоке біологічне очищення, знезаражування, доочищення у ставках з вищою водною рослинністю, так і на базі новітніх технологій. Рекомендуються очисні споруди закритого типу: біосорбційно-фільтраційної очистки стічних вод - „БІОСОФ”, або „Браво”, з послідуючим доочищенням на закритих біоплато або на біоінженерних спорудах - „БІС”. Вибір технології та уточнення міста розташування найбільш доцільного для умов коси Арабатська Стрілка відноситься до стадії спеціалізованого проекту очисних споруд. Остаточний вибір варіанту належить до компетенції органів місцевого самоврядування та власників рекреаційних установ.</w:t>
      </w:r>
    </w:p>
    <w:p w:rsidR="00BC5297" w:rsidRDefault="00BC5297" w:rsidP="00BC5297">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Відведення побутових стічних вод зон № II та №III передбачається самопливними колекторами до каналізаційної насосної станції, яка напірним трубопроводом буде перекачувати їх за межі території, що проектується на існуючі </w:t>
      </w:r>
      <w:r>
        <w:rPr>
          <w:rFonts w:ascii="Times New Roman" w:hAnsi="Times New Roman"/>
          <w:sz w:val="26"/>
          <w:szCs w:val="26"/>
          <w:lang w:val="uk-UA"/>
        </w:rPr>
        <w:lastRenderedPageBreak/>
        <w:t xml:space="preserve">каналізаційні очисні споруди. Дані КОС побудовані але не введені в експлуатацію. Розташовані на території площею </w:t>
      </w:r>
      <w:smartTag w:uri="urn:schemas-microsoft-com:office:smarttags" w:element="metricconverter">
        <w:smartTagPr>
          <w:attr w:name="ProductID" w:val="4 га"/>
        </w:smartTagPr>
        <w:r>
          <w:rPr>
            <w:rFonts w:ascii="Times New Roman" w:hAnsi="Times New Roman"/>
            <w:sz w:val="26"/>
            <w:szCs w:val="26"/>
            <w:lang w:val="uk-UA"/>
          </w:rPr>
          <w:t>4 га</w:t>
        </w:r>
      </w:smartTag>
      <w:r>
        <w:rPr>
          <w:rFonts w:ascii="Times New Roman" w:hAnsi="Times New Roman"/>
          <w:sz w:val="26"/>
          <w:szCs w:val="26"/>
          <w:lang w:val="uk-UA"/>
        </w:rPr>
        <w:t>, на північному сході від межі території зон № II та №III. Для початку функціонування даних очисних споруд необхідно виконати пуско-налагоджувальні роботи.</w:t>
      </w:r>
    </w:p>
    <w:p w:rsidR="00BC5297" w:rsidRDefault="00BC5297" w:rsidP="00BC5297">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Після повного біологічного очищення та знезараження стічні води можливо використовувати у системі змиву унітазів (допускається п.2.6 діючого СНиП 2.04.01-85), що забезпечує значну економію води питної якості. А також на зрошення зелених насаджень з урахуванням виконання вимог, передбачених у висновку Інституту гігієни та медичної екології ім. О.М. Марзеєва № 21/4191 від 5.11.02. Для партерних газонів та квітників система зрошення – внутрішньо - ґрунтова, для садових газонів з посадками дерев та чагарників допускається поверхневий спосіб поливання з розташуванням зрошувачів на висоті декілька сантиметрів від поверхні землі. Зрошення насаджень у першому поясі зони санітарної охорони джерел господарчо-питного водопостачання і поливання покриттів проїздів та майданчиків – тільки водою із господарчо-питного водопроводу.</w:t>
      </w:r>
    </w:p>
    <w:p w:rsidR="00BC5297" w:rsidRDefault="00BC5297" w:rsidP="00BC5297">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Довжина вуличної мережі в межах проектного комплексу: водопровідної </w:t>
      </w:r>
      <w:smartTag w:uri="urn:schemas-microsoft-com:office:smarttags" w:element="metricconverter">
        <w:smartTagPr>
          <w:attr w:name="ProductID" w:val="15,00 км"/>
        </w:smartTagPr>
        <w:r>
          <w:rPr>
            <w:rFonts w:ascii="Times New Roman" w:hAnsi="Times New Roman"/>
            <w:sz w:val="26"/>
            <w:szCs w:val="26"/>
            <w:lang w:val="uk-UA"/>
          </w:rPr>
          <w:t>15,00 км</w:t>
        </w:r>
      </w:smartTag>
      <w:r>
        <w:rPr>
          <w:rFonts w:ascii="Times New Roman" w:hAnsi="Times New Roman"/>
          <w:sz w:val="26"/>
          <w:szCs w:val="26"/>
          <w:lang w:val="uk-UA"/>
        </w:rPr>
        <w:t xml:space="preserve">; каналізаційної самопливної </w:t>
      </w:r>
      <w:smartTag w:uri="urn:schemas-microsoft-com:office:smarttags" w:element="metricconverter">
        <w:smartTagPr>
          <w:attr w:name="ProductID" w:val="5,60 км"/>
        </w:smartTagPr>
        <w:r>
          <w:rPr>
            <w:rFonts w:ascii="Times New Roman" w:hAnsi="Times New Roman"/>
            <w:sz w:val="26"/>
            <w:szCs w:val="26"/>
            <w:lang w:val="uk-UA"/>
          </w:rPr>
          <w:t>5,60 км</w:t>
        </w:r>
      </w:smartTag>
      <w:r>
        <w:rPr>
          <w:rFonts w:ascii="Times New Roman" w:hAnsi="Times New Roman"/>
          <w:sz w:val="26"/>
          <w:szCs w:val="26"/>
          <w:lang w:val="uk-UA"/>
        </w:rPr>
        <w:t xml:space="preserve">, каналізації напірної </w:t>
      </w:r>
      <w:smartTag w:uri="urn:schemas-microsoft-com:office:smarttags" w:element="metricconverter">
        <w:smartTagPr>
          <w:attr w:name="ProductID" w:val="3,50 км"/>
        </w:smartTagPr>
        <w:r>
          <w:rPr>
            <w:rFonts w:ascii="Times New Roman" w:hAnsi="Times New Roman"/>
            <w:sz w:val="26"/>
            <w:szCs w:val="26"/>
            <w:lang w:val="uk-UA"/>
          </w:rPr>
          <w:t>3,50 км</w:t>
        </w:r>
      </w:smartTag>
      <w:r>
        <w:rPr>
          <w:rFonts w:ascii="Times New Roman" w:hAnsi="Times New Roman"/>
          <w:sz w:val="26"/>
          <w:szCs w:val="26"/>
          <w:lang w:val="uk-UA"/>
        </w:rPr>
        <w:t>.</w:t>
      </w:r>
    </w:p>
    <w:p w:rsidR="00BC5297" w:rsidRDefault="00BC5297" w:rsidP="00BC5297">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Орієнтовна вартість мережі водопроводу в межах проектного комплексу – 25,96 млн. грн. (у т. ч. водопровідні споруди 11,13 млн. грн.) Орієнтовна вартість мережі каналізації в межах проектного комплексу - 17,14 млн. грн. (у т. ч. каналізаційні очисні споруди 4,00 млн. грн., каналізаційні насосні станції – 0,80 млн. грн.).</w:t>
      </w:r>
    </w:p>
    <w:p w:rsidR="00BC5297" w:rsidRDefault="00BC5297" w:rsidP="00BC5297">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Таблиця 4.11 - Показники водоспоживання і водовідведення</w:t>
      </w:r>
    </w:p>
    <w:tbl>
      <w:tblPr>
        <w:tblW w:w="9210" w:type="dxa"/>
        <w:jc w:val="center"/>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tblPr>
      <w:tblGrid>
        <w:gridCol w:w="4109"/>
        <w:gridCol w:w="1558"/>
        <w:gridCol w:w="1275"/>
        <w:gridCol w:w="1134"/>
        <w:gridCol w:w="1134"/>
      </w:tblGrid>
      <w:tr w:rsidR="00BC5297" w:rsidTr="00BC5297">
        <w:trPr>
          <w:cantSplit/>
          <w:trHeight w:val="720"/>
          <w:tblHeader/>
          <w:jc w:val="center"/>
        </w:trPr>
        <w:tc>
          <w:tcPr>
            <w:tcW w:w="411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C5297" w:rsidRDefault="00BC5297">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Найменування</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C5297" w:rsidRDefault="00BC5297">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Одиниця виміру</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C5297" w:rsidRDefault="00BC5297">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Кількість</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C5297" w:rsidRDefault="00BC5297">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Норма, л/макс. добу</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C5297" w:rsidRDefault="00BC5297">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Об’єм, м</w:t>
            </w:r>
            <w:r>
              <w:rPr>
                <w:rFonts w:ascii="Times New Roman" w:hAnsi="Times New Roman"/>
                <w:b/>
                <w:sz w:val="24"/>
                <w:szCs w:val="24"/>
                <w:vertAlign w:val="superscript"/>
                <w:lang w:val="uk-UA"/>
              </w:rPr>
              <w:t>3</w:t>
            </w:r>
            <w:r>
              <w:rPr>
                <w:rFonts w:ascii="Times New Roman" w:hAnsi="Times New Roman"/>
                <w:b/>
                <w:sz w:val="24"/>
                <w:szCs w:val="24"/>
                <w:lang w:val="uk-UA"/>
              </w:rPr>
              <w:t>/макс. добу</w:t>
            </w:r>
          </w:p>
        </w:tc>
      </w:tr>
      <w:tr w:rsidR="00BC5297" w:rsidTr="00BC5297">
        <w:trPr>
          <w:cantSplit/>
          <w:trHeight w:val="28"/>
          <w:jc w:val="center"/>
        </w:trPr>
        <w:tc>
          <w:tcPr>
            <w:tcW w:w="4111" w:type="dxa"/>
            <w:tcBorders>
              <w:top w:val="single" w:sz="6"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b/>
                <w:sz w:val="24"/>
                <w:szCs w:val="24"/>
                <w:lang w:val="uk-UA"/>
              </w:rPr>
            </w:pPr>
            <w:r>
              <w:rPr>
                <w:rFonts w:ascii="Times New Roman" w:hAnsi="Times New Roman"/>
                <w:b/>
                <w:sz w:val="24"/>
                <w:szCs w:val="24"/>
                <w:lang w:val="uk-UA"/>
              </w:rPr>
              <w:t>I Оздоровчо – рекреаційна зона</w:t>
            </w:r>
          </w:p>
        </w:tc>
        <w:tc>
          <w:tcPr>
            <w:tcW w:w="1559" w:type="dxa"/>
            <w:tcBorders>
              <w:top w:val="single" w:sz="6"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276" w:type="dxa"/>
            <w:tcBorders>
              <w:top w:val="single" w:sz="6"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6"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6"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r>
      <w:tr w:rsidR="00BC5297" w:rsidTr="00BC5297">
        <w:trPr>
          <w:cantSplit/>
          <w:trHeight w:val="28"/>
          <w:jc w:val="center"/>
        </w:trPr>
        <w:tc>
          <w:tcPr>
            <w:tcW w:w="4111" w:type="dxa"/>
            <w:tcBorders>
              <w:top w:val="single" w:sz="6"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i/>
                <w:sz w:val="24"/>
                <w:szCs w:val="24"/>
                <w:lang w:val="uk-UA"/>
              </w:rPr>
            </w:pPr>
            <w:r>
              <w:rPr>
                <w:rFonts w:ascii="Times New Roman" w:hAnsi="Times New Roman"/>
                <w:i/>
                <w:sz w:val="24"/>
                <w:szCs w:val="24"/>
                <w:lang w:val="uk-UA"/>
              </w:rPr>
              <w:t>Оздоровча зона</w:t>
            </w:r>
          </w:p>
        </w:tc>
        <w:tc>
          <w:tcPr>
            <w:tcW w:w="1559" w:type="dxa"/>
            <w:tcBorders>
              <w:top w:val="single" w:sz="6"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i/>
                <w:sz w:val="24"/>
                <w:szCs w:val="24"/>
                <w:lang w:val="uk-UA"/>
              </w:rPr>
            </w:pPr>
          </w:p>
        </w:tc>
        <w:tc>
          <w:tcPr>
            <w:tcW w:w="1276" w:type="dxa"/>
            <w:tcBorders>
              <w:top w:val="single" w:sz="6"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i/>
                <w:sz w:val="24"/>
                <w:szCs w:val="24"/>
                <w:lang w:val="uk-UA"/>
              </w:rPr>
            </w:pPr>
          </w:p>
        </w:tc>
        <w:tc>
          <w:tcPr>
            <w:tcW w:w="1134" w:type="dxa"/>
            <w:tcBorders>
              <w:top w:val="single" w:sz="6"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i/>
                <w:sz w:val="24"/>
                <w:szCs w:val="24"/>
                <w:lang w:val="uk-UA"/>
              </w:rPr>
            </w:pPr>
          </w:p>
        </w:tc>
        <w:tc>
          <w:tcPr>
            <w:tcW w:w="1134" w:type="dxa"/>
            <w:tcBorders>
              <w:top w:val="single" w:sz="6"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i/>
                <w:sz w:val="24"/>
                <w:szCs w:val="24"/>
                <w:lang w:val="uk-UA"/>
              </w:rPr>
            </w:pP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група санаторіїв №1</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1800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360,00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група санаторіїв №2</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1800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360,00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i/>
                <w:sz w:val="24"/>
                <w:szCs w:val="24"/>
                <w:lang w:val="uk-UA"/>
              </w:rPr>
            </w:pPr>
            <w:r>
              <w:rPr>
                <w:rFonts w:ascii="Times New Roman" w:hAnsi="Times New Roman"/>
                <w:i/>
                <w:sz w:val="24"/>
                <w:szCs w:val="24"/>
                <w:lang w:val="uk-UA"/>
              </w:rPr>
              <w:t>Рекреаційна зона</w:t>
            </w:r>
          </w:p>
        </w:tc>
        <w:tc>
          <w:tcPr>
            <w:tcW w:w="1559"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i/>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i/>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i/>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i/>
                <w:sz w:val="24"/>
                <w:szCs w:val="24"/>
                <w:lang w:val="uk-UA"/>
              </w:rPr>
            </w:pP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1. Курортні готелі:</w:t>
            </w:r>
          </w:p>
        </w:tc>
        <w:tc>
          <w:tcPr>
            <w:tcW w:w="1559"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зона №1</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600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230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138,00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xml:space="preserve">- зона №2 </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600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230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138,00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2. Пансіонати:</w:t>
            </w:r>
          </w:p>
        </w:tc>
        <w:tc>
          <w:tcPr>
            <w:tcW w:w="1559"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зона №1</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950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150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142,50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lastRenderedPageBreak/>
              <w:t>- зона №2</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950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150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142,50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3. Міні-пансіонати:</w:t>
            </w:r>
          </w:p>
        </w:tc>
        <w:tc>
          <w:tcPr>
            <w:tcW w:w="1559"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зона №1</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1000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120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120,00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зона №2</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600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120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72,00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4. Молодіжний табір</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900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90,00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i/>
                <w:sz w:val="24"/>
                <w:szCs w:val="24"/>
                <w:lang w:val="uk-UA"/>
              </w:rPr>
            </w:pPr>
            <w:r>
              <w:rPr>
                <w:rFonts w:ascii="Times New Roman" w:hAnsi="Times New Roman"/>
                <w:i/>
                <w:sz w:val="24"/>
                <w:szCs w:val="24"/>
                <w:lang w:val="uk-UA"/>
              </w:rPr>
              <w:t>Етно-комплекс</w:t>
            </w:r>
          </w:p>
        </w:tc>
        <w:tc>
          <w:tcPr>
            <w:tcW w:w="1559"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i/>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i/>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i/>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i/>
                <w:sz w:val="24"/>
                <w:szCs w:val="24"/>
                <w:lang w:val="uk-UA"/>
              </w:rPr>
            </w:pP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зона №1</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1100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220,00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зона №2</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400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80,00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i/>
                <w:sz w:val="24"/>
                <w:szCs w:val="24"/>
                <w:lang w:val="uk-UA"/>
              </w:rPr>
            </w:pPr>
            <w:r>
              <w:rPr>
                <w:rFonts w:ascii="Times New Roman" w:hAnsi="Times New Roman"/>
                <w:i/>
                <w:sz w:val="24"/>
                <w:szCs w:val="24"/>
                <w:lang w:val="uk-UA"/>
              </w:rPr>
              <w:t xml:space="preserve">Медичний коледж </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учні</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500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10,00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i/>
                <w:sz w:val="24"/>
                <w:szCs w:val="24"/>
                <w:lang w:val="uk-UA"/>
              </w:rPr>
            </w:pPr>
            <w:r>
              <w:rPr>
                <w:rFonts w:ascii="Times New Roman" w:hAnsi="Times New Roman"/>
                <w:i/>
                <w:sz w:val="24"/>
                <w:szCs w:val="24"/>
                <w:lang w:val="uk-UA"/>
              </w:rPr>
              <w:t>Заклади загально курортного значення:</w:t>
            </w:r>
          </w:p>
        </w:tc>
        <w:tc>
          <w:tcPr>
            <w:tcW w:w="1559"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b/>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b/>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b/>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b/>
                <w:sz w:val="24"/>
                <w:szCs w:val="24"/>
                <w:lang w:val="uk-UA"/>
              </w:rPr>
            </w:pP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xml:space="preserve">1. Адміністративний будинок </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об’єкт</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аналог</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2,46</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2. Універсальний відовищно-розважальний центр:</w:t>
            </w:r>
          </w:p>
        </w:tc>
        <w:tc>
          <w:tcPr>
            <w:tcW w:w="1559"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кіноконцертний зал</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2000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4</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8,00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бар-ресторан</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400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80,00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3. Терми:</w:t>
            </w:r>
          </w:p>
        </w:tc>
        <w:tc>
          <w:tcPr>
            <w:tcW w:w="1559"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сауна; турецька, руська лазні</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60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180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10,80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xml:space="preserve">- басейни(и) критий(і) </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w:t>
            </w:r>
            <w:r>
              <w:rPr>
                <w:rFonts w:ascii="Times New Roman" w:hAnsi="Times New Roman"/>
                <w:sz w:val="24"/>
                <w:szCs w:val="24"/>
                <w:vertAlign w:val="superscript"/>
                <w:lang w:val="uk-UA"/>
              </w:rPr>
              <w:t>2</w:t>
            </w:r>
            <w:r>
              <w:rPr>
                <w:rFonts w:ascii="Times New Roman" w:hAnsi="Times New Roman"/>
                <w:sz w:val="24"/>
                <w:szCs w:val="24"/>
                <w:lang w:val="uk-UA"/>
              </w:rPr>
              <w:t xml:space="preserve"> дз. води</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400</w:t>
            </w: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62,00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салон краси, перукарня</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60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0,60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фітнес-кафе</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50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12/страву</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16,00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4. Спортивний клуб (південь):</w:t>
            </w:r>
          </w:p>
        </w:tc>
        <w:tc>
          <w:tcPr>
            <w:tcW w:w="1559"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r>
      <w:tr w:rsidR="00BC5297" w:rsidTr="00BC5297">
        <w:trPr>
          <w:cantSplit/>
          <w:trHeight w:val="195"/>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xml:space="preserve">- спортивні зали </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об’єкт</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аналог</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1,04</w:t>
            </w:r>
          </w:p>
        </w:tc>
      </w:tr>
      <w:tr w:rsidR="00BC5297" w:rsidTr="00BC5297">
        <w:trPr>
          <w:cantSplit/>
          <w:trHeight w:val="224"/>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басейни(и) відкритий(і)</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w:t>
            </w:r>
            <w:r>
              <w:rPr>
                <w:rFonts w:ascii="Times New Roman" w:hAnsi="Times New Roman"/>
                <w:sz w:val="24"/>
                <w:szCs w:val="24"/>
                <w:vertAlign w:val="superscript"/>
                <w:lang w:val="uk-UA"/>
              </w:rPr>
              <w:t>2</w:t>
            </w:r>
            <w:r>
              <w:rPr>
                <w:rFonts w:ascii="Times New Roman" w:hAnsi="Times New Roman"/>
                <w:sz w:val="24"/>
                <w:szCs w:val="24"/>
                <w:lang w:val="uk-UA"/>
              </w:rPr>
              <w:t xml:space="preserve"> дз. води</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600</w:t>
            </w: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93,00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кафе</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50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12/страву</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18,00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5. Спортивний кантрі-клуб (північ):</w:t>
            </w:r>
          </w:p>
        </w:tc>
        <w:tc>
          <w:tcPr>
            <w:tcW w:w="1559"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кафе</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50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12/страву</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18,00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6. Яхт-клуб:</w:t>
            </w:r>
          </w:p>
        </w:tc>
        <w:tc>
          <w:tcPr>
            <w:tcW w:w="1559"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клуб аквалангістів, рибалок-аматорів</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об’єкт</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аналог</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0,60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спорт-бар</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50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12/страву</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12,00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7. Торгові комплекси:</w:t>
            </w:r>
          </w:p>
        </w:tc>
        <w:tc>
          <w:tcPr>
            <w:tcW w:w="1559"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xml:space="preserve">- магазини </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smartTag w:uri="urn:schemas-microsoft-com:office:smarttags" w:element="metricconverter">
              <w:smartTagPr>
                <w:attr w:name="ProductID" w:val="20 м2"/>
              </w:smartTagPr>
              <w:r>
                <w:rPr>
                  <w:rFonts w:ascii="Times New Roman" w:hAnsi="Times New Roman"/>
                  <w:sz w:val="24"/>
                  <w:szCs w:val="24"/>
                  <w:lang w:val="uk-UA"/>
                </w:rPr>
                <w:t>20 м</w:t>
              </w:r>
              <w:r>
                <w:rPr>
                  <w:rFonts w:ascii="Times New Roman" w:hAnsi="Times New Roman"/>
                  <w:sz w:val="24"/>
                  <w:szCs w:val="24"/>
                  <w:vertAlign w:val="superscript"/>
                  <w:lang w:val="uk-UA"/>
                </w:rPr>
                <w:t>2</w:t>
              </w:r>
            </w:smartTag>
            <w:r>
              <w:rPr>
                <w:rFonts w:ascii="Times New Roman" w:hAnsi="Times New Roman"/>
                <w:sz w:val="24"/>
                <w:szCs w:val="24"/>
                <w:lang w:val="uk-UA"/>
              </w:rPr>
              <w:t xml:space="preserve"> т. пл.</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480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133</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3,16</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пункт прокату, майстерні</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роб. 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44</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16</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0,72</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перукарні, салони краси</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роб. 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24</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60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1,44</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xml:space="preserve">- дитячі кафе, спорт-бари </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12/страву</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72,00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xml:space="preserve">8. Медичний коледж </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учнів</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500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10,00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9. Етно-комплекс (зона №1):</w:t>
            </w:r>
          </w:p>
        </w:tc>
        <w:tc>
          <w:tcPr>
            <w:tcW w:w="1559"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xml:space="preserve">- ресторани </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550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12/страву</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170,28</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диско-клуб, більярдний клуб</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осіб</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аналог</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2,12</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10. Етно-комплекс (зона №2):</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об’єкт</w:t>
            </w:r>
          </w:p>
        </w:tc>
        <w:tc>
          <w:tcPr>
            <w:tcW w:w="1276"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xml:space="preserve">- ресторани </w:t>
            </w:r>
          </w:p>
        </w:tc>
        <w:tc>
          <w:tcPr>
            <w:tcW w:w="1559"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12/страву</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61,92</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диско-клуб</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чол.</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аналог</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0,85</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xml:space="preserve">11. Диско-клуби </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об’єкт</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600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4</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2,40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12. Комунальна зона:</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конюшня</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коней</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10</w:t>
            </w: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2,00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фабрика-пральня</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кг</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2800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40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112</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ремонтні майстерні</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роб. 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11</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16</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0,18</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b/>
                <w:sz w:val="24"/>
                <w:szCs w:val="24"/>
                <w:lang w:val="uk-UA"/>
              </w:rPr>
              <w:t>II Оздоровча зона</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2500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230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575,00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b/>
                <w:sz w:val="24"/>
                <w:szCs w:val="24"/>
                <w:lang w:val="uk-UA"/>
              </w:rPr>
              <w:lastRenderedPageBreak/>
              <w:t>III Парково–громадська зона</w:t>
            </w:r>
          </w:p>
        </w:tc>
        <w:tc>
          <w:tcPr>
            <w:tcW w:w="1559"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xml:space="preserve">1. Паркова зона </w:t>
            </w:r>
          </w:p>
        </w:tc>
        <w:tc>
          <w:tcPr>
            <w:tcW w:w="1559"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аквапарк</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 xml:space="preserve">відвід. місць </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1000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аналог</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239,00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xml:space="preserve">2. Громадська зона </w:t>
            </w:r>
          </w:p>
        </w:tc>
        <w:tc>
          <w:tcPr>
            <w:tcW w:w="1559"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універсальний розважальний центр</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2000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аналог</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32,00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xml:space="preserve">- спортивний центр </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w:t>
            </w:r>
            <w:r>
              <w:rPr>
                <w:rFonts w:ascii="Times New Roman" w:hAnsi="Times New Roman"/>
                <w:sz w:val="24"/>
                <w:szCs w:val="24"/>
                <w:vertAlign w:val="superscript"/>
                <w:lang w:val="uk-UA"/>
              </w:rPr>
              <w:t xml:space="preserve">2 </w:t>
            </w:r>
            <w:r>
              <w:rPr>
                <w:rFonts w:ascii="Times New Roman" w:hAnsi="Times New Roman"/>
                <w:sz w:val="24"/>
                <w:szCs w:val="24"/>
                <w:lang w:val="uk-UA"/>
              </w:rPr>
              <w:t>заг.площі</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20000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аналог</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12,00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торгівельний комплекс</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20м</w:t>
            </w:r>
            <w:r>
              <w:rPr>
                <w:rFonts w:ascii="Times New Roman" w:hAnsi="Times New Roman"/>
                <w:sz w:val="24"/>
                <w:szCs w:val="24"/>
                <w:vertAlign w:val="superscript"/>
                <w:lang w:val="uk-UA"/>
              </w:rPr>
              <w:t>2</w:t>
            </w:r>
            <w:r>
              <w:rPr>
                <w:rFonts w:ascii="Times New Roman" w:hAnsi="Times New Roman"/>
                <w:sz w:val="24"/>
                <w:szCs w:val="24"/>
                <w:lang w:val="uk-UA"/>
              </w:rPr>
              <w:t xml:space="preserve"> торг. пл.</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8000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аналог</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53,20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діснейленд</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відвід. 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1500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аналог</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15,00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xml:space="preserve">Разом </w:t>
            </w:r>
          </w:p>
        </w:tc>
        <w:tc>
          <w:tcPr>
            <w:tcW w:w="1559"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bottom"/>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3560,77</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Не облічені (5%)</w:t>
            </w:r>
          </w:p>
        </w:tc>
        <w:tc>
          <w:tcPr>
            <w:tcW w:w="1559"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bottom"/>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178,04</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Поливання-миття територій:</w:t>
            </w:r>
          </w:p>
        </w:tc>
        <w:tc>
          <w:tcPr>
            <w:tcW w:w="1559"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територія парків, газони</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vertAlign w:val="superscript"/>
                <w:lang w:val="uk-UA"/>
              </w:rPr>
            </w:pPr>
            <w:r>
              <w:rPr>
                <w:rFonts w:ascii="Times New Roman" w:hAnsi="Times New Roman"/>
                <w:sz w:val="24"/>
                <w:szCs w:val="24"/>
                <w:lang w:val="uk-UA"/>
              </w:rPr>
              <w:t>м</w:t>
            </w:r>
            <w:r>
              <w:rPr>
                <w:rFonts w:ascii="Times New Roman" w:hAnsi="Times New Roman"/>
                <w:sz w:val="24"/>
                <w:szCs w:val="24"/>
                <w:vertAlign w:val="superscript"/>
                <w:lang w:val="uk-UA"/>
              </w:rPr>
              <w:t>2</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1000000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3</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3000,00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Ландшафтний парк</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w:t>
            </w:r>
            <w:r>
              <w:rPr>
                <w:rFonts w:ascii="Times New Roman" w:hAnsi="Times New Roman"/>
                <w:sz w:val="24"/>
                <w:szCs w:val="24"/>
                <w:vertAlign w:val="superscript"/>
                <w:lang w:val="uk-UA"/>
              </w:rPr>
              <w:t>2</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320000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3</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960,00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проїзди</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w:t>
            </w:r>
            <w:r>
              <w:rPr>
                <w:rFonts w:ascii="Times New Roman" w:hAnsi="Times New Roman"/>
                <w:sz w:val="24"/>
                <w:szCs w:val="24"/>
                <w:vertAlign w:val="superscript"/>
                <w:lang w:val="uk-UA"/>
              </w:rPr>
              <w:t>2</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270000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0,4</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108,00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підживлення фонтанів (5%)</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w:t>
            </w:r>
            <w:r>
              <w:rPr>
                <w:rFonts w:ascii="Times New Roman" w:hAnsi="Times New Roman"/>
                <w:sz w:val="24"/>
                <w:szCs w:val="24"/>
                <w:vertAlign w:val="superscript"/>
                <w:lang w:val="uk-UA"/>
              </w:rPr>
              <w:t>3</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288</w:t>
            </w: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14,40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-оранжерейно-тепличне господарство</w:t>
            </w:r>
          </w:p>
        </w:tc>
        <w:tc>
          <w:tcPr>
            <w:tcW w:w="1559"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м</w:t>
            </w:r>
            <w:r>
              <w:rPr>
                <w:rFonts w:ascii="Times New Roman" w:hAnsi="Times New Roman"/>
                <w:sz w:val="24"/>
                <w:szCs w:val="24"/>
                <w:vertAlign w:val="superscript"/>
                <w:lang w:val="uk-UA"/>
              </w:rPr>
              <w:t>2</w:t>
            </w:r>
          </w:p>
        </w:tc>
        <w:tc>
          <w:tcPr>
            <w:tcW w:w="1276"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22400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4</w:t>
            </w: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98,56</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xml:space="preserve">- у т.ч. з питного водопроводу </w:t>
            </w:r>
          </w:p>
        </w:tc>
        <w:tc>
          <w:tcPr>
            <w:tcW w:w="1559"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122,40</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Разом: – вода питної якості</w:t>
            </w:r>
          </w:p>
        </w:tc>
        <w:tc>
          <w:tcPr>
            <w:tcW w:w="1559"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bottom"/>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3861,21</w:t>
            </w:r>
          </w:p>
        </w:tc>
      </w:tr>
      <w:tr w:rsidR="00BC5297" w:rsidTr="00BC5297">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xml:space="preserve"> - технічна вода</w:t>
            </w:r>
          </w:p>
        </w:tc>
        <w:tc>
          <w:tcPr>
            <w:tcW w:w="1559"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bottom"/>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4058,56</w:t>
            </w:r>
          </w:p>
        </w:tc>
      </w:tr>
      <w:tr w:rsidR="00BC5297" w:rsidTr="00BC5297">
        <w:trPr>
          <w:cantSplit/>
          <w:trHeight w:val="307"/>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xml:space="preserve">   - стічні води</w:t>
            </w:r>
          </w:p>
        </w:tc>
        <w:tc>
          <w:tcPr>
            <w:tcW w:w="1559"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BC5297" w:rsidRDefault="00BC5297">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bottom"/>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3738,81</w:t>
            </w:r>
          </w:p>
        </w:tc>
      </w:tr>
    </w:tbl>
    <w:p w:rsidR="00BC5297" w:rsidRDefault="00BC5297" w:rsidP="00BC5297">
      <w:pPr>
        <w:spacing w:after="0" w:line="240" w:lineRule="auto"/>
        <w:rPr>
          <w:rFonts w:ascii="Times New Roman" w:hAnsi="Times New Roman"/>
          <w:sz w:val="24"/>
          <w:szCs w:val="24"/>
        </w:rPr>
      </w:pPr>
    </w:p>
    <w:p w:rsidR="00BC5297" w:rsidRDefault="00BC5297" w:rsidP="00BC5297">
      <w:pPr>
        <w:spacing w:after="0" w:line="240" w:lineRule="auto"/>
        <w:jc w:val="both"/>
        <w:rPr>
          <w:rFonts w:ascii="Times New Roman" w:hAnsi="Times New Roman"/>
          <w:sz w:val="24"/>
          <w:szCs w:val="24"/>
          <w:lang w:val="uk-UA"/>
        </w:rPr>
      </w:pPr>
      <w:r>
        <w:rPr>
          <w:rFonts w:ascii="Times New Roman" w:hAnsi="Times New Roman"/>
          <w:u w:val="single"/>
          <w:lang w:val="uk-UA"/>
        </w:rPr>
        <w:t>Примітка</w:t>
      </w:r>
      <w:r>
        <w:rPr>
          <w:rFonts w:ascii="Times New Roman" w:hAnsi="Times New Roman"/>
          <w:lang w:val="uk-UA"/>
        </w:rPr>
        <w:t>: Питомі показники водоспоживання і водовідведення прийняті за Державними будівельними нормами містобудування ДБН 360-92**, СНиП 2.04.02-84, СНиП 2.04.01-85 та аналізу значної кількості проектів аналогів. Наведені показники підлягають уточненню при розробці (коригуванні) галузевих схем водопостачання і водовідведення.</w:t>
      </w:r>
    </w:p>
    <w:p w:rsidR="00BC5297" w:rsidRDefault="00BC5297" w:rsidP="00BC5297">
      <w:pPr>
        <w:spacing w:after="0" w:line="360" w:lineRule="auto"/>
        <w:jc w:val="center"/>
        <w:rPr>
          <w:rFonts w:ascii="Times New Roman" w:hAnsi="Times New Roman"/>
          <w:i/>
          <w:sz w:val="28"/>
          <w:szCs w:val="28"/>
          <w:lang w:val="uk-UA"/>
        </w:rPr>
      </w:pPr>
      <w:bookmarkStart w:id="0" w:name="_Toc359931495"/>
      <w:bookmarkStart w:id="1" w:name="_Toc128970835"/>
    </w:p>
    <w:p w:rsidR="00BC5297" w:rsidRDefault="00BC5297" w:rsidP="00BC5297">
      <w:pPr>
        <w:spacing w:after="0" w:line="360" w:lineRule="auto"/>
        <w:jc w:val="center"/>
        <w:rPr>
          <w:rFonts w:ascii="Times New Roman" w:hAnsi="Times New Roman"/>
          <w:i/>
          <w:sz w:val="26"/>
          <w:szCs w:val="26"/>
          <w:lang w:val="uk-UA"/>
        </w:rPr>
      </w:pPr>
      <w:r>
        <w:rPr>
          <w:rFonts w:ascii="Times New Roman" w:hAnsi="Times New Roman"/>
          <w:i/>
          <w:sz w:val="26"/>
          <w:szCs w:val="26"/>
          <w:lang w:val="uk-UA"/>
        </w:rPr>
        <w:t>Санітарне очищення</w:t>
      </w:r>
      <w:bookmarkEnd w:id="0"/>
      <w:r>
        <w:rPr>
          <w:rFonts w:ascii="Times New Roman" w:hAnsi="Times New Roman"/>
          <w:i/>
          <w:sz w:val="26"/>
          <w:szCs w:val="26"/>
          <w:lang w:val="uk-UA"/>
        </w:rPr>
        <w:t>.</w:t>
      </w:r>
    </w:p>
    <w:p w:rsidR="00BC5297" w:rsidRDefault="00BC5297" w:rsidP="00BC5297">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Відповідно до норм ДБН 360-92** розрахунковий об’єм накопичення твердих побутових відходів (ТПВ) та сміття з вулиць на розрахунковий строк складе 4,21 тис. т/рік. Чисельність рекреантів цілорічних – 13200 осіб. Норма накопичення ТПВ 290 кг/рік, сміття та невраховані 10%. Необхідна площа полігону з розрахунку </w:t>
      </w:r>
      <w:smartTag w:uri="urn:schemas-microsoft-com:office:smarttags" w:element="metricconverter">
        <w:smartTagPr>
          <w:attr w:name="ProductID" w:val="0,02 га"/>
        </w:smartTagPr>
        <w:r>
          <w:rPr>
            <w:rFonts w:ascii="Times New Roman" w:hAnsi="Times New Roman"/>
            <w:sz w:val="26"/>
            <w:szCs w:val="26"/>
            <w:lang w:val="uk-UA"/>
          </w:rPr>
          <w:t>0,02 га</w:t>
        </w:r>
      </w:smartTag>
      <w:r>
        <w:rPr>
          <w:rFonts w:ascii="Times New Roman" w:hAnsi="Times New Roman"/>
          <w:sz w:val="26"/>
          <w:szCs w:val="26"/>
          <w:lang w:val="uk-UA"/>
        </w:rPr>
        <w:t xml:space="preserve"> на 1 тис. т відходів на розрахунковий строк (20 років) – </w:t>
      </w:r>
      <w:smartTag w:uri="urn:schemas-microsoft-com:office:smarttags" w:element="metricconverter">
        <w:smartTagPr>
          <w:attr w:name="ProductID" w:val="1,68 га"/>
        </w:smartTagPr>
        <w:r>
          <w:rPr>
            <w:rFonts w:ascii="Times New Roman" w:hAnsi="Times New Roman"/>
            <w:sz w:val="26"/>
            <w:szCs w:val="26"/>
            <w:lang w:val="uk-UA"/>
          </w:rPr>
          <w:t>1,68 га</w:t>
        </w:r>
      </w:smartTag>
      <w:r>
        <w:rPr>
          <w:rFonts w:ascii="Times New Roman" w:hAnsi="Times New Roman"/>
          <w:sz w:val="26"/>
          <w:szCs w:val="26"/>
          <w:lang w:val="uk-UA"/>
        </w:rPr>
        <w:t>.</w:t>
      </w:r>
    </w:p>
    <w:p w:rsidR="00BC5297" w:rsidRDefault="00BC5297" w:rsidP="00BC5297">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У зв'язку з тим, що проблема знешкодження ТПВ актуальна для всього регіону та облаштування екологічно чистого підприємства по знешкодженню вимагає значних одноразових витрат, рекомендується прийняти участь у розробці регіональної схеми санітарного очищення з проробленням варіанта дальнього транспортування, будівництва районного підприємства промислової переробки і знешкодження відходів. </w:t>
      </w:r>
      <w:r>
        <w:rPr>
          <w:rFonts w:ascii="Times New Roman" w:hAnsi="Times New Roman"/>
          <w:bCs/>
          <w:sz w:val="26"/>
          <w:szCs w:val="26"/>
          <w:lang w:val="uk-UA"/>
        </w:rPr>
        <w:t>Вибір ділянки під розміщення підприємства по переробці ТПВ доцільно проводити в межах рекультивованих частин діючих звалищ або в межах відпрацьованих кар’єрів.</w:t>
      </w:r>
    </w:p>
    <w:p w:rsidR="00BC5297" w:rsidRDefault="00BC5297" w:rsidP="00BC5297">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lastRenderedPageBreak/>
        <w:t>Також з метою забезпечення виконання “Програми поводження з твердими побутовими відходами“ (постанова Кабінетові Міністрів України від 4.04.2004 р. №265) передбачається подальше впровадження організації роздільного збору твердих побутових відходів з наступним використанням і утилізацією. За умови організації роздільного збору обсяг вивозу твердих побутових відходів можна зменшити на 30-50%.</w:t>
      </w:r>
    </w:p>
    <w:p w:rsidR="00BC5297" w:rsidRDefault="00BC5297" w:rsidP="00BC5297">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Для санітарного очищення необхідно: 3 сміттєвоза та 7 прибиральних машин та механізмів.</w:t>
      </w:r>
    </w:p>
    <w:p w:rsidR="00BC5297" w:rsidRDefault="00BC5297" w:rsidP="00BC5297">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Для вирішення питання поводження з ТПВ території, що проектується необхідна розробка спеціалізованої схеми санітарного очищення з уточненням першочергових та перспективних заходів, спрямованих на створення промислового виробництва із сортування ТПВ, поліпшення екологічного та санітарного стану, утилізації вторинної сировини, її переробки та одержання продукції, скорочення об’ємів ТПВ, зменшення транспортних витрат тощо. При цьому систему санітарного очищення Міста майбутнього „InterMedicalEcoCiti” необхідно розглядати як елемент регіональної системи, що включає у себе м. Генічеськ, Арабатську Стрілку.</w:t>
      </w:r>
    </w:p>
    <w:p w:rsidR="00BC5297" w:rsidRDefault="00BC5297" w:rsidP="00BC5297">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Таблиця 4.12 – Необхідне інженерне обладнання та види робіт</w:t>
      </w:r>
    </w:p>
    <w:tbl>
      <w:tblPr>
        <w:tblW w:w="9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23"/>
        <w:gridCol w:w="2786"/>
        <w:gridCol w:w="76"/>
        <w:gridCol w:w="1619"/>
        <w:gridCol w:w="1829"/>
        <w:gridCol w:w="1982"/>
      </w:tblGrid>
      <w:tr w:rsidR="00BC5297" w:rsidTr="00BC5297">
        <w:trPr>
          <w:tblHeader/>
          <w:jc w:val="center"/>
        </w:trPr>
        <w:tc>
          <w:tcPr>
            <w:tcW w:w="1024"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Робота (код)</w:t>
            </w:r>
          </w:p>
        </w:tc>
        <w:tc>
          <w:tcPr>
            <w:tcW w:w="2788" w:type="dxa"/>
            <w:tcBorders>
              <w:top w:val="single" w:sz="4" w:space="0" w:color="auto"/>
              <w:left w:val="single" w:sz="4" w:space="0" w:color="auto"/>
              <w:bottom w:val="single" w:sz="4" w:space="0" w:color="auto"/>
              <w:right w:val="single" w:sz="4" w:space="0" w:color="auto"/>
            </w:tcBorders>
            <w:vAlign w:val="center"/>
            <w:hideMark/>
          </w:tcPr>
          <w:p w:rsidR="00BC5297" w:rsidRDefault="00BC5297">
            <w:pPr>
              <w:pageBreakBefore/>
              <w:spacing w:after="0" w:line="240" w:lineRule="auto"/>
              <w:jc w:val="center"/>
              <w:rPr>
                <w:rFonts w:ascii="Times New Roman" w:hAnsi="Times New Roman"/>
                <w:sz w:val="24"/>
                <w:szCs w:val="24"/>
                <w:lang w:val="uk-UA"/>
              </w:rPr>
            </w:pPr>
            <w:r>
              <w:rPr>
                <w:rFonts w:ascii="Times New Roman" w:hAnsi="Times New Roman"/>
                <w:sz w:val="24"/>
                <w:szCs w:val="24"/>
                <w:lang w:val="uk-UA"/>
              </w:rPr>
              <w:t>Робота (найменування)</w:t>
            </w:r>
          </w:p>
        </w:tc>
        <w:tc>
          <w:tcPr>
            <w:tcW w:w="1696" w:type="dxa"/>
            <w:gridSpan w:val="2"/>
            <w:tcBorders>
              <w:top w:val="single" w:sz="4" w:space="0" w:color="auto"/>
              <w:left w:val="single" w:sz="4" w:space="0" w:color="auto"/>
              <w:bottom w:val="single" w:sz="4" w:space="0" w:color="auto"/>
              <w:right w:val="single" w:sz="4" w:space="0" w:color="auto"/>
            </w:tcBorders>
            <w:vAlign w:val="center"/>
            <w:hideMark/>
          </w:tcPr>
          <w:p w:rsidR="00BC5297" w:rsidRDefault="00BC5297">
            <w:pPr>
              <w:pageBreakBefore/>
              <w:spacing w:after="0" w:line="240" w:lineRule="auto"/>
              <w:jc w:val="center"/>
              <w:rPr>
                <w:rFonts w:ascii="Times New Roman" w:hAnsi="Times New Roman"/>
                <w:sz w:val="24"/>
                <w:szCs w:val="24"/>
                <w:lang w:val="uk-UA"/>
              </w:rPr>
            </w:pPr>
            <w:r>
              <w:rPr>
                <w:rFonts w:ascii="Times New Roman" w:hAnsi="Times New Roman"/>
                <w:sz w:val="24"/>
                <w:szCs w:val="24"/>
                <w:lang w:val="uk-UA"/>
              </w:rPr>
              <w:t>Строк виконання (орієнтовно)</w:t>
            </w:r>
          </w:p>
        </w:tc>
        <w:tc>
          <w:tcPr>
            <w:tcW w:w="1830" w:type="dxa"/>
            <w:tcBorders>
              <w:top w:val="single" w:sz="4" w:space="0" w:color="auto"/>
              <w:left w:val="single" w:sz="4" w:space="0" w:color="auto"/>
              <w:bottom w:val="single" w:sz="4" w:space="0" w:color="auto"/>
              <w:right w:val="single" w:sz="4" w:space="0" w:color="auto"/>
            </w:tcBorders>
            <w:vAlign w:val="center"/>
            <w:hideMark/>
          </w:tcPr>
          <w:p w:rsidR="00BC5297" w:rsidRDefault="00BC5297">
            <w:pPr>
              <w:pageBreakBefore/>
              <w:spacing w:after="0" w:line="240" w:lineRule="auto"/>
              <w:jc w:val="center"/>
              <w:rPr>
                <w:rFonts w:ascii="Times New Roman" w:hAnsi="Times New Roman"/>
                <w:sz w:val="24"/>
                <w:szCs w:val="24"/>
                <w:lang w:val="uk-UA"/>
              </w:rPr>
            </w:pPr>
            <w:r>
              <w:rPr>
                <w:rFonts w:ascii="Times New Roman" w:hAnsi="Times New Roman"/>
                <w:sz w:val="24"/>
                <w:szCs w:val="24"/>
                <w:lang w:val="uk-UA"/>
              </w:rPr>
              <w:t>Вартість виконання (млн. грн., орієнтовно)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BC5297" w:rsidRDefault="00BC5297">
            <w:pPr>
              <w:pageBreakBefore/>
              <w:spacing w:after="0" w:line="240" w:lineRule="auto"/>
              <w:jc w:val="center"/>
              <w:rPr>
                <w:rFonts w:ascii="Times New Roman" w:hAnsi="Times New Roman"/>
                <w:sz w:val="24"/>
                <w:szCs w:val="24"/>
                <w:lang w:val="uk-UA"/>
              </w:rPr>
            </w:pPr>
            <w:r>
              <w:rPr>
                <w:rFonts w:ascii="Times New Roman" w:hAnsi="Times New Roman"/>
                <w:sz w:val="24"/>
                <w:szCs w:val="24"/>
                <w:lang w:val="uk-UA"/>
              </w:rPr>
              <w:t xml:space="preserve">Порядок виконання в розрізі розділів водопостачання каналізація </w:t>
            </w:r>
          </w:p>
        </w:tc>
      </w:tr>
      <w:tr w:rsidR="00BC5297" w:rsidTr="00BC5297">
        <w:trPr>
          <w:jc w:val="center"/>
        </w:trPr>
        <w:tc>
          <w:tcPr>
            <w:tcW w:w="9322" w:type="dxa"/>
            <w:gridSpan w:val="6"/>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 xml:space="preserve">ВОДОПОСТАЧАННЯ </w:t>
            </w:r>
          </w:p>
        </w:tc>
      </w:tr>
      <w:tr w:rsidR="00BC5297" w:rsidTr="00BC5297">
        <w:trPr>
          <w:jc w:val="center"/>
        </w:trPr>
        <w:tc>
          <w:tcPr>
            <w:tcW w:w="1024"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В1</w:t>
            </w:r>
          </w:p>
        </w:tc>
        <w:tc>
          <w:tcPr>
            <w:tcW w:w="2788"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Прокладання вуличної водопровідної мережі (</w:t>
            </w:r>
            <w:smartTag w:uri="urn:schemas-microsoft-com:office:smarttags" w:element="metricconverter">
              <w:smartTagPr>
                <w:attr w:name="ProductID" w:val="15,00 км"/>
              </w:smartTagPr>
              <w:r>
                <w:rPr>
                  <w:rFonts w:ascii="Times New Roman" w:hAnsi="Times New Roman"/>
                  <w:sz w:val="24"/>
                  <w:szCs w:val="24"/>
                  <w:lang w:val="uk-UA"/>
                </w:rPr>
                <w:t>15,00 км</w:t>
              </w:r>
            </w:smartTag>
            <w:r>
              <w:rPr>
                <w:rFonts w:ascii="Times New Roman" w:hAnsi="Times New Roman"/>
                <w:sz w:val="24"/>
                <w:szCs w:val="24"/>
                <w:lang w:val="uk-UA"/>
              </w:rPr>
              <w:t>)</w:t>
            </w:r>
          </w:p>
        </w:tc>
        <w:tc>
          <w:tcPr>
            <w:tcW w:w="1696" w:type="dxa"/>
            <w:gridSpan w:val="2"/>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11 місяців</w:t>
            </w:r>
          </w:p>
        </w:tc>
        <w:tc>
          <w:tcPr>
            <w:tcW w:w="1830"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7,33</w:t>
            </w:r>
          </w:p>
        </w:tc>
        <w:tc>
          <w:tcPr>
            <w:tcW w:w="1984"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одночасно з В2, В3</w:t>
            </w:r>
          </w:p>
        </w:tc>
      </w:tr>
      <w:tr w:rsidR="00BC5297" w:rsidTr="00BC5297">
        <w:trPr>
          <w:jc w:val="center"/>
        </w:trPr>
        <w:tc>
          <w:tcPr>
            <w:tcW w:w="1024"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В2</w:t>
            </w:r>
          </w:p>
        </w:tc>
        <w:tc>
          <w:tcPr>
            <w:tcW w:w="2788"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Прокладання внутрішньоділянкової водопровідної мережі (</w:t>
            </w:r>
            <w:smartTag w:uri="urn:schemas-microsoft-com:office:smarttags" w:element="metricconverter">
              <w:smartTagPr>
                <w:attr w:name="ProductID" w:val="20,00 км"/>
              </w:smartTagPr>
              <w:r>
                <w:rPr>
                  <w:rFonts w:ascii="Times New Roman" w:hAnsi="Times New Roman"/>
                  <w:sz w:val="24"/>
                  <w:szCs w:val="24"/>
                  <w:lang w:val="uk-UA"/>
                </w:rPr>
                <w:t>20,00 км</w:t>
              </w:r>
            </w:smartTag>
            <w:r>
              <w:rPr>
                <w:rFonts w:ascii="Times New Roman" w:hAnsi="Times New Roman"/>
                <w:sz w:val="24"/>
                <w:szCs w:val="24"/>
                <w:lang w:val="uk-UA"/>
              </w:rPr>
              <w:t>)</w:t>
            </w:r>
          </w:p>
        </w:tc>
        <w:tc>
          <w:tcPr>
            <w:tcW w:w="1696" w:type="dxa"/>
            <w:gridSpan w:val="2"/>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6 місяців</w:t>
            </w:r>
          </w:p>
        </w:tc>
        <w:tc>
          <w:tcPr>
            <w:tcW w:w="1830"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7,50</w:t>
            </w:r>
          </w:p>
        </w:tc>
        <w:tc>
          <w:tcPr>
            <w:tcW w:w="1984"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одночасно з В1, В3</w:t>
            </w:r>
          </w:p>
        </w:tc>
      </w:tr>
      <w:tr w:rsidR="00BC5297" w:rsidTr="00BC5297">
        <w:trPr>
          <w:jc w:val="center"/>
        </w:trPr>
        <w:tc>
          <w:tcPr>
            <w:tcW w:w="1024"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В3</w:t>
            </w:r>
          </w:p>
        </w:tc>
        <w:tc>
          <w:tcPr>
            <w:tcW w:w="2788"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Будівництво ділянок водопровідних споруд (3 одиниці)</w:t>
            </w:r>
          </w:p>
        </w:tc>
        <w:tc>
          <w:tcPr>
            <w:tcW w:w="1696" w:type="dxa"/>
            <w:gridSpan w:val="2"/>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6 місяців</w:t>
            </w:r>
          </w:p>
        </w:tc>
        <w:tc>
          <w:tcPr>
            <w:tcW w:w="1830"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11,13</w:t>
            </w:r>
          </w:p>
        </w:tc>
        <w:tc>
          <w:tcPr>
            <w:tcW w:w="1984"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одночасно з В1, В2</w:t>
            </w:r>
          </w:p>
        </w:tc>
      </w:tr>
      <w:tr w:rsidR="00BC5297" w:rsidTr="00BC5297">
        <w:trPr>
          <w:jc w:val="center"/>
        </w:trPr>
        <w:tc>
          <w:tcPr>
            <w:tcW w:w="5508" w:type="dxa"/>
            <w:gridSpan w:val="4"/>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Усього по водопостачанню</w:t>
            </w:r>
          </w:p>
        </w:tc>
        <w:tc>
          <w:tcPr>
            <w:tcW w:w="1830"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25,96</w:t>
            </w:r>
          </w:p>
        </w:tc>
        <w:tc>
          <w:tcPr>
            <w:tcW w:w="1984" w:type="dxa"/>
            <w:tcBorders>
              <w:top w:val="single" w:sz="4" w:space="0" w:color="auto"/>
              <w:left w:val="single" w:sz="4" w:space="0" w:color="auto"/>
              <w:bottom w:val="single" w:sz="4" w:space="0" w:color="auto"/>
              <w:right w:val="single" w:sz="4" w:space="0" w:color="auto"/>
            </w:tcBorders>
            <w:vAlign w:val="center"/>
          </w:tcPr>
          <w:p w:rsidR="00BC5297" w:rsidRDefault="00BC5297">
            <w:pPr>
              <w:spacing w:after="0" w:line="240" w:lineRule="auto"/>
              <w:jc w:val="center"/>
              <w:rPr>
                <w:rFonts w:ascii="Times New Roman" w:hAnsi="Times New Roman"/>
                <w:sz w:val="24"/>
                <w:szCs w:val="24"/>
                <w:lang w:val="uk-UA"/>
              </w:rPr>
            </w:pPr>
          </w:p>
        </w:tc>
      </w:tr>
      <w:tr w:rsidR="00BC5297" w:rsidTr="00BC5297">
        <w:trPr>
          <w:jc w:val="center"/>
        </w:trPr>
        <w:tc>
          <w:tcPr>
            <w:tcW w:w="9322" w:type="dxa"/>
            <w:gridSpan w:val="6"/>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КАНАЛІЗАЦІЯ</w:t>
            </w:r>
          </w:p>
        </w:tc>
      </w:tr>
      <w:tr w:rsidR="00BC5297" w:rsidTr="00BC5297">
        <w:trPr>
          <w:jc w:val="center"/>
        </w:trPr>
        <w:tc>
          <w:tcPr>
            <w:tcW w:w="1024"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К1</w:t>
            </w:r>
          </w:p>
        </w:tc>
        <w:tc>
          <w:tcPr>
            <w:tcW w:w="2788"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Прокладання вуличної самопливної каналізаційної мережі (</w:t>
            </w:r>
            <w:smartTag w:uri="urn:schemas-microsoft-com:office:smarttags" w:element="metricconverter">
              <w:smartTagPr>
                <w:attr w:name="ProductID" w:val="5,60 км"/>
              </w:smartTagPr>
              <w:r>
                <w:rPr>
                  <w:rFonts w:ascii="Times New Roman" w:hAnsi="Times New Roman"/>
                  <w:sz w:val="24"/>
                  <w:szCs w:val="24"/>
                  <w:lang w:val="uk-UA"/>
                </w:rPr>
                <w:t>5,60 км</w:t>
              </w:r>
            </w:smartTag>
            <w:r>
              <w:rPr>
                <w:rFonts w:ascii="Times New Roman" w:hAnsi="Times New Roman"/>
                <w:sz w:val="24"/>
                <w:szCs w:val="24"/>
                <w:lang w:val="uk-UA"/>
              </w:rPr>
              <w:t>)</w:t>
            </w:r>
          </w:p>
        </w:tc>
        <w:tc>
          <w:tcPr>
            <w:tcW w:w="1696" w:type="dxa"/>
            <w:gridSpan w:val="2"/>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7 місяців</w:t>
            </w:r>
          </w:p>
        </w:tc>
        <w:tc>
          <w:tcPr>
            <w:tcW w:w="1830"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2,38</w:t>
            </w:r>
          </w:p>
        </w:tc>
        <w:tc>
          <w:tcPr>
            <w:tcW w:w="1984"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одночасно з К2, К3, К4, К5</w:t>
            </w:r>
          </w:p>
        </w:tc>
      </w:tr>
      <w:tr w:rsidR="00BC5297" w:rsidTr="00BC5297">
        <w:trPr>
          <w:jc w:val="center"/>
        </w:trPr>
        <w:tc>
          <w:tcPr>
            <w:tcW w:w="1024"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К2</w:t>
            </w:r>
          </w:p>
        </w:tc>
        <w:tc>
          <w:tcPr>
            <w:tcW w:w="2788"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 xml:space="preserve">Прокладання </w:t>
            </w:r>
            <w:r>
              <w:rPr>
                <w:rFonts w:ascii="Times New Roman" w:hAnsi="Times New Roman"/>
                <w:sz w:val="24"/>
                <w:szCs w:val="24"/>
                <w:lang w:val="uk-UA"/>
              </w:rPr>
              <w:lastRenderedPageBreak/>
              <w:t>внутрішньоділянкової каналізаційної мережі (</w:t>
            </w:r>
            <w:smartTag w:uri="urn:schemas-microsoft-com:office:smarttags" w:element="metricconverter">
              <w:smartTagPr>
                <w:attr w:name="ProductID" w:val="17,00 км"/>
              </w:smartTagPr>
              <w:r>
                <w:rPr>
                  <w:rFonts w:ascii="Times New Roman" w:hAnsi="Times New Roman"/>
                  <w:sz w:val="24"/>
                  <w:szCs w:val="24"/>
                  <w:lang w:val="uk-UA"/>
                </w:rPr>
                <w:t>17,00 км</w:t>
              </w:r>
            </w:smartTag>
            <w:r>
              <w:rPr>
                <w:rFonts w:ascii="Times New Roman" w:hAnsi="Times New Roman"/>
                <w:sz w:val="24"/>
                <w:szCs w:val="24"/>
                <w:lang w:val="uk-UA"/>
              </w:rPr>
              <w:t>)</w:t>
            </w:r>
          </w:p>
        </w:tc>
        <w:tc>
          <w:tcPr>
            <w:tcW w:w="1696" w:type="dxa"/>
            <w:gridSpan w:val="2"/>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lastRenderedPageBreak/>
              <w:t>8 місяців</w:t>
            </w:r>
          </w:p>
        </w:tc>
        <w:tc>
          <w:tcPr>
            <w:tcW w:w="1830"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7,65</w:t>
            </w:r>
          </w:p>
        </w:tc>
        <w:tc>
          <w:tcPr>
            <w:tcW w:w="1984"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 xml:space="preserve">одночасно з К1, </w:t>
            </w:r>
            <w:r>
              <w:rPr>
                <w:rFonts w:ascii="Times New Roman" w:hAnsi="Times New Roman"/>
                <w:sz w:val="24"/>
                <w:szCs w:val="24"/>
                <w:lang w:val="uk-UA"/>
              </w:rPr>
              <w:lastRenderedPageBreak/>
              <w:t>К3, К4, К5</w:t>
            </w:r>
          </w:p>
        </w:tc>
      </w:tr>
      <w:tr w:rsidR="00BC5297" w:rsidTr="00BC5297">
        <w:trPr>
          <w:jc w:val="center"/>
        </w:trPr>
        <w:tc>
          <w:tcPr>
            <w:tcW w:w="1024"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lastRenderedPageBreak/>
              <w:t>К3</w:t>
            </w:r>
          </w:p>
        </w:tc>
        <w:tc>
          <w:tcPr>
            <w:tcW w:w="2788"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Прокладання напірної каналізаційної мережі (</w:t>
            </w:r>
            <w:smartTag w:uri="urn:schemas-microsoft-com:office:smarttags" w:element="metricconverter">
              <w:smartTagPr>
                <w:attr w:name="ProductID" w:val="3,50 км"/>
              </w:smartTagPr>
              <w:r>
                <w:rPr>
                  <w:rFonts w:ascii="Times New Roman" w:hAnsi="Times New Roman"/>
                  <w:sz w:val="24"/>
                  <w:szCs w:val="24"/>
                  <w:lang w:val="uk-UA"/>
                </w:rPr>
                <w:t>3,50 км</w:t>
              </w:r>
            </w:smartTag>
            <w:r>
              <w:rPr>
                <w:rFonts w:ascii="Times New Roman" w:hAnsi="Times New Roman"/>
                <w:sz w:val="24"/>
                <w:szCs w:val="24"/>
                <w:lang w:val="uk-UA"/>
              </w:rPr>
              <w:t>)</w:t>
            </w:r>
          </w:p>
        </w:tc>
        <w:tc>
          <w:tcPr>
            <w:tcW w:w="1696" w:type="dxa"/>
            <w:gridSpan w:val="2"/>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3 місяці</w:t>
            </w:r>
          </w:p>
        </w:tc>
        <w:tc>
          <w:tcPr>
            <w:tcW w:w="1830"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2,31</w:t>
            </w:r>
          </w:p>
        </w:tc>
        <w:tc>
          <w:tcPr>
            <w:tcW w:w="1984"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одночасно з К1, К2, К4, К5</w:t>
            </w:r>
          </w:p>
        </w:tc>
      </w:tr>
      <w:tr w:rsidR="00BC5297" w:rsidTr="00BC5297">
        <w:trPr>
          <w:jc w:val="center"/>
        </w:trPr>
        <w:tc>
          <w:tcPr>
            <w:tcW w:w="1024"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К4</w:t>
            </w:r>
          </w:p>
        </w:tc>
        <w:tc>
          <w:tcPr>
            <w:tcW w:w="2788"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Будівництво каналізаційних насосних станцій (2 одиниці)</w:t>
            </w:r>
          </w:p>
        </w:tc>
        <w:tc>
          <w:tcPr>
            <w:tcW w:w="1696" w:type="dxa"/>
            <w:gridSpan w:val="2"/>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6 місяців</w:t>
            </w:r>
          </w:p>
        </w:tc>
        <w:tc>
          <w:tcPr>
            <w:tcW w:w="1830"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0,80</w:t>
            </w:r>
          </w:p>
        </w:tc>
        <w:tc>
          <w:tcPr>
            <w:tcW w:w="1984"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одночасно з К1, К2, К3, К5</w:t>
            </w:r>
          </w:p>
        </w:tc>
      </w:tr>
      <w:tr w:rsidR="00BC5297" w:rsidTr="00BC5297">
        <w:trPr>
          <w:jc w:val="center"/>
        </w:trPr>
        <w:tc>
          <w:tcPr>
            <w:tcW w:w="1024"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К5</w:t>
            </w:r>
          </w:p>
        </w:tc>
        <w:tc>
          <w:tcPr>
            <w:tcW w:w="2788"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Будівництво каналізаційних очисних споруд (1 ділянка)</w:t>
            </w:r>
          </w:p>
        </w:tc>
        <w:tc>
          <w:tcPr>
            <w:tcW w:w="1696" w:type="dxa"/>
            <w:gridSpan w:val="2"/>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6 місяців</w:t>
            </w:r>
          </w:p>
        </w:tc>
        <w:tc>
          <w:tcPr>
            <w:tcW w:w="1830"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4,00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одночасно з К1, К2, К3, К4</w:t>
            </w:r>
          </w:p>
        </w:tc>
      </w:tr>
      <w:tr w:rsidR="00BC5297" w:rsidTr="00BC5297">
        <w:trPr>
          <w:jc w:val="center"/>
        </w:trPr>
        <w:tc>
          <w:tcPr>
            <w:tcW w:w="5508" w:type="dxa"/>
            <w:gridSpan w:val="4"/>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Усього по каналізації</w:t>
            </w:r>
          </w:p>
        </w:tc>
        <w:tc>
          <w:tcPr>
            <w:tcW w:w="1830"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17,14</w:t>
            </w:r>
          </w:p>
        </w:tc>
        <w:tc>
          <w:tcPr>
            <w:tcW w:w="1984" w:type="dxa"/>
            <w:tcBorders>
              <w:top w:val="single" w:sz="4" w:space="0" w:color="auto"/>
              <w:left w:val="single" w:sz="4" w:space="0" w:color="auto"/>
              <w:bottom w:val="single" w:sz="4" w:space="0" w:color="auto"/>
              <w:right w:val="single" w:sz="4" w:space="0" w:color="auto"/>
            </w:tcBorders>
            <w:vAlign w:val="center"/>
          </w:tcPr>
          <w:p w:rsidR="00BC5297" w:rsidRDefault="00BC5297">
            <w:pPr>
              <w:spacing w:after="0" w:line="240" w:lineRule="auto"/>
              <w:jc w:val="center"/>
              <w:rPr>
                <w:rFonts w:ascii="Times New Roman" w:hAnsi="Times New Roman"/>
                <w:sz w:val="24"/>
                <w:szCs w:val="24"/>
                <w:lang w:val="uk-UA"/>
              </w:rPr>
            </w:pPr>
          </w:p>
        </w:tc>
      </w:tr>
      <w:tr w:rsidR="00BC5297" w:rsidTr="00BC5297">
        <w:trPr>
          <w:jc w:val="center"/>
        </w:trPr>
        <w:tc>
          <w:tcPr>
            <w:tcW w:w="9322" w:type="dxa"/>
            <w:gridSpan w:val="6"/>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САНІТАРНЕ ОЧИЩЕННЯ</w:t>
            </w:r>
          </w:p>
        </w:tc>
      </w:tr>
      <w:tr w:rsidR="00BC5297" w:rsidTr="00BC5297">
        <w:trPr>
          <w:jc w:val="center"/>
        </w:trPr>
        <w:tc>
          <w:tcPr>
            <w:tcW w:w="1024"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СО1</w:t>
            </w:r>
          </w:p>
        </w:tc>
        <w:tc>
          <w:tcPr>
            <w:tcW w:w="2864" w:type="dxa"/>
            <w:gridSpan w:val="2"/>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Придбання сміттєвозів (3 одиниці)</w:t>
            </w:r>
          </w:p>
        </w:tc>
        <w:tc>
          <w:tcPr>
            <w:tcW w:w="1620"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3 місяця</w:t>
            </w:r>
          </w:p>
        </w:tc>
        <w:tc>
          <w:tcPr>
            <w:tcW w:w="1830"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2,10</w:t>
            </w:r>
          </w:p>
        </w:tc>
        <w:tc>
          <w:tcPr>
            <w:tcW w:w="1984"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одночасно з СО2, СО3</w:t>
            </w:r>
          </w:p>
        </w:tc>
      </w:tr>
      <w:tr w:rsidR="00BC5297" w:rsidTr="00BC5297">
        <w:trPr>
          <w:jc w:val="center"/>
        </w:trPr>
        <w:tc>
          <w:tcPr>
            <w:tcW w:w="1024"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СО2</w:t>
            </w:r>
          </w:p>
        </w:tc>
        <w:tc>
          <w:tcPr>
            <w:tcW w:w="2864" w:type="dxa"/>
            <w:gridSpan w:val="2"/>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Придбання прибиральних машин та механізмів (7 одиниць)</w:t>
            </w:r>
          </w:p>
        </w:tc>
        <w:tc>
          <w:tcPr>
            <w:tcW w:w="1620"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3 місяця</w:t>
            </w:r>
          </w:p>
        </w:tc>
        <w:tc>
          <w:tcPr>
            <w:tcW w:w="1830"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2,80</w:t>
            </w:r>
          </w:p>
        </w:tc>
        <w:tc>
          <w:tcPr>
            <w:tcW w:w="1984"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одночасно з СО1, СО3</w:t>
            </w:r>
          </w:p>
        </w:tc>
      </w:tr>
      <w:tr w:rsidR="00BC5297" w:rsidTr="00BC5297">
        <w:trPr>
          <w:jc w:val="center"/>
        </w:trPr>
        <w:tc>
          <w:tcPr>
            <w:tcW w:w="1024"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СОЗ</w:t>
            </w:r>
          </w:p>
        </w:tc>
        <w:tc>
          <w:tcPr>
            <w:tcW w:w="2864" w:type="dxa"/>
            <w:gridSpan w:val="2"/>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Розробка Схеми санітарного очищення</w:t>
            </w:r>
          </w:p>
        </w:tc>
        <w:tc>
          <w:tcPr>
            <w:tcW w:w="1620"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5 місяців</w:t>
            </w:r>
          </w:p>
        </w:tc>
        <w:tc>
          <w:tcPr>
            <w:tcW w:w="1830"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0,30</w:t>
            </w:r>
          </w:p>
        </w:tc>
        <w:tc>
          <w:tcPr>
            <w:tcW w:w="1984"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одночасно з СО1, СО2</w:t>
            </w:r>
          </w:p>
        </w:tc>
      </w:tr>
      <w:tr w:rsidR="00BC5297" w:rsidTr="00BC5297">
        <w:trPr>
          <w:jc w:val="center"/>
        </w:trPr>
        <w:tc>
          <w:tcPr>
            <w:tcW w:w="5508" w:type="dxa"/>
            <w:gridSpan w:val="4"/>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rPr>
                <w:rFonts w:ascii="Times New Roman" w:hAnsi="Times New Roman"/>
                <w:sz w:val="24"/>
                <w:szCs w:val="24"/>
                <w:lang w:val="uk-UA"/>
              </w:rPr>
            </w:pPr>
            <w:r>
              <w:rPr>
                <w:rFonts w:ascii="Times New Roman" w:hAnsi="Times New Roman"/>
                <w:sz w:val="24"/>
                <w:szCs w:val="24"/>
                <w:lang w:val="uk-UA"/>
              </w:rPr>
              <w:t>Усього по санітарному очищенню</w:t>
            </w:r>
          </w:p>
        </w:tc>
        <w:tc>
          <w:tcPr>
            <w:tcW w:w="1830"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sz w:val="24"/>
                <w:szCs w:val="24"/>
                <w:lang w:val="uk-UA"/>
              </w:rPr>
            </w:pPr>
            <w:r>
              <w:rPr>
                <w:rFonts w:ascii="Times New Roman" w:hAnsi="Times New Roman"/>
                <w:sz w:val="24"/>
                <w:szCs w:val="24"/>
                <w:lang w:val="uk-UA"/>
              </w:rPr>
              <w:t>5,20</w:t>
            </w:r>
          </w:p>
        </w:tc>
        <w:tc>
          <w:tcPr>
            <w:tcW w:w="1984" w:type="dxa"/>
            <w:tcBorders>
              <w:top w:val="single" w:sz="4" w:space="0" w:color="auto"/>
              <w:left w:val="single" w:sz="4" w:space="0" w:color="auto"/>
              <w:bottom w:val="single" w:sz="4" w:space="0" w:color="auto"/>
              <w:right w:val="single" w:sz="4" w:space="0" w:color="auto"/>
            </w:tcBorders>
            <w:vAlign w:val="center"/>
          </w:tcPr>
          <w:p w:rsidR="00BC5297" w:rsidRDefault="00BC5297">
            <w:pPr>
              <w:spacing w:after="0" w:line="240" w:lineRule="auto"/>
              <w:jc w:val="center"/>
              <w:rPr>
                <w:rFonts w:ascii="Times New Roman" w:hAnsi="Times New Roman"/>
                <w:sz w:val="24"/>
                <w:szCs w:val="24"/>
                <w:lang w:val="uk-UA"/>
              </w:rPr>
            </w:pPr>
          </w:p>
        </w:tc>
      </w:tr>
      <w:tr w:rsidR="00BC5297" w:rsidTr="00BC5297">
        <w:trPr>
          <w:jc w:val="center"/>
        </w:trPr>
        <w:tc>
          <w:tcPr>
            <w:tcW w:w="5508" w:type="dxa"/>
            <w:gridSpan w:val="4"/>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rPr>
                <w:rFonts w:ascii="Times New Roman" w:hAnsi="Times New Roman"/>
                <w:b/>
                <w:sz w:val="24"/>
                <w:szCs w:val="24"/>
                <w:lang w:val="uk-UA"/>
              </w:rPr>
            </w:pPr>
            <w:r>
              <w:rPr>
                <w:rFonts w:ascii="Times New Roman" w:hAnsi="Times New Roman"/>
                <w:b/>
                <w:sz w:val="24"/>
                <w:szCs w:val="24"/>
                <w:lang w:val="uk-UA"/>
              </w:rPr>
              <w:t>Усього по розділам</w:t>
            </w:r>
          </w:p>
        </w:tc>
        <w:tc>
          <w:tcPr>
            <w:tcW w:w="1830" w:type="dxa"/>
            <w:tcBorders>
              <w:top w:val="single" w:sz="4" w:space="0" w:color="auto"/>
              <w:left w:val="single" w:sz="4" w:space="0" w:color="auto"/>
              <w:bottom w:val="single" w:sz="4" w:space="0" w:color="auto"/>
              <w:right w:val="single" w:sz="4" w:space="0" w:color="auto"/>
            </w:tcBorders>
            <w:vAlign w:val="center"/>
            <w:hideMark/>
          </w:tcPr>
          <w:p w:rsidR="00BC5297" w:rsidRDefault="00BC5297">
            <w:pPr>
              <w:spacing w:after="0" w:line="240" w:lineRule="auto"/>
              <w:jc w:val="center"/>
              <w:rPr>
                <w:rFonts w:ascii="Times New Roman" w:hAnsi="Times New Roman"/>
                <w:b/>
                <w:sz w:val="24"/>
                <w:szCs w:val="24"/>
                <w:lang w:val="uk-UA"/>
              </w:rPr>
            </w:pPr>
            <w:r>
              <w:rPr>
                <w:rFonts w:ascii="Times New Roman" w:hAnsi="Times New Roman"/>
                <w:b/>
                <w:sz w:val="24"/>
                <w:szCs w:val="24"/>
                <w:lang w:val="uk-UA"/>
              </w:rPr>
              <w:t>48,30</w:t>
            </w:r>
          </w:p>
        </w:tc>
        <w:tc>
          <w:tcPr>
            <w:tcW w:w="1984" w:type="dxa"/>
            <w:tcBorders>
              <w:top w:val="single" w:sz="4" w:space="0" w:color="auto"/>
              <w:left w:val="single" w:sz="4" w:space="0" w:color="auto"/>
              <w:bottom w:val="single" w:sz="4" w:space="0" w:color="auto"/>
              <w:right w:val="single" w:sz="4" w:space="0" w:color="auto"/>
            </w:tcBorders>
            <w:vAlign w:val="center"/>
          </w:tcPr>
          <w:p w:rsidR="00BC5297" w:rsidRDefault="00BC5297">
            <w:pPr>
              <w:spacing w:after="0" w:line="240" w:lineRule="auto"/>
              <w:jc w:val="center"/>
              <w:rPr>
                <w:rFonts w:ascii="Times New Roman" w:hAnsi="Times New Roman"/>
                <w:b/>
                <w:sz w:val="24"/>
                <w:szCs w:val="24"/>
                <w:lang w:val="uk-UA"/>
              </w:rPr>
            </w:pPr>
          </w:p>
        </w:tc>
      </w:tr>
    </w:tbl>
    <w:p w:rsidR="00BC5297" w:rsidRDefault="00BC5297" w:rsidP="00BC5297">
      <w:pPr>
        <w:spacing w:after="0"/>
        <w:jc w:val="center"/>
        <w:rPr>
          <w:b/>
        </w:rPr>
      </w:pPr>
    </w:p>
    <w:bookmarkEnd w:id="1"/>
    <w:p w:rsidR="00BC5297" w:rsidRDefault="00BC5297" w:rsidP="00BC5297">
      <w:pPr>
        <w:spacing w:after="0" w:line="360" w:lineRule="auto"/>
        <w:ind w:firstLine="709"/>
        <w:jc w:val="center"/>
        <w:rPr>
          <w:rFonts w:ascii="Times New Roman" w:hAnsi="Times New Roman"/>
          <w:i/>
          <w:sz w:val="26"/>
          <w:szCs w:val="26"/>
          <w:lang w:val="uk-UA"/>
        </w:rPr>
      </w:pPr>
      <w:r>
        <w:rPr>
          <w:rFonts w:ascii="Times New Roman" w:hAnsi="Times New Roman"/>
          <w:i/>
          <w:sz w:val="26"/>
          <w:szCs w:val="26"/>
          <w:lang w:val="uk-UA"/>
        </w:rPr>
        <w:t>Енергопостачання.</w:t>
      </w:r>
    </w:p>
    <w:p w:rsidR="00BC5297" w:rsidRDefault="00BC5297" w:rsidP="00BC5297">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Проектом передбачається будівництво «Міста майбутнього» «InterMedicalEcoCity» з оздоровчо-рекреаційною та парково-громадською зонами. Для енергопостачання перспективного споживачів проектом пропонується </w:t>
      </w:r>
      <w:r>
        <w:rPr>
          <w:rFonts w:ascii="Times New Roman" w:hAnsi="Times New Roman"/>
          <w:sz w:val="26"/>
          <w:szCs w:val="26"/>
          <w:lang w:val="uk-UA" w:eastAsia="uk-UA"/>
        </w:rPr>
        <w:t xml:space="preserve">використання нетрадиційних і поновлюваних джерел енергії, </w:t>
      </w:r>
      <w:r>
        <w:rPr>
          <w:rFonts w:ascii="Times New Roman" w:hAnsi="Times New Roman"/>
          <w:sz w:val="26"/>
          <w:szCs w:val="26"/>
          <w:lang w:val="uk-UA"/>
        </w:rPr>
        <w:t xml:space="preserve">а саме енергії сонця. Потенціал сонячної енергії Арабатської Стрілки є достатньо високим для широкого впровадження теплоенергетичного обладнання. В кліматометеорологічних умовах території, що розглядається, є ефективним застосування плоских сонячних колекторів для сонячного теплопостачання, які використовують як пряму, так і розсіяну сонячну радіацію. Геліоустановки можна застосовувати в зонах децентралізованого теплопостачання та можуть бути розташовані на ділянках, що не забудовуються, а також на дахах будівель-споживачів тепла. Враховуючи нерівномірність надходження тепла, установки сонячної теплоенергетики більш </w:t>
      </w:r>
      <w:r>
        <w:rPr>
          <w:rFonts w:ascii="Times New Roman" w:hAnsi="Times New Roman"/>
          <w:sz w:val="26"/>
          <w:szCs w:val="26"/>
          <w:lang w:val="uk-UA"/>
        </w:rPr>
        <w:lastRenderedPageBreak/>
        <w:t>доцільно доповнювати іншими енергетичними установками (наприклад, тепловими насосами).</w:t>
      </w:r>
    </w:p>
    <w:p w:rsidR="00BC5297" w:rsidRDefault="00BC5297" w:rsidP="00BC5297">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Для визначення необхідної кількості електричної та теплової енергії були визначені розрахункові електричні та теплові навантаження, які прийняті згідно питомих норм ДБН В.2.5.23-2010 «Проектування електрообладнання об’єктів цивільного призначення» та ДБН В.2.5-39:2008 «Теплові мережі», ДСТУ-Н Б Б В.1.1-27:2010 «Будівельна кліматологія» відповідно, а також аналізу значної кількості виконаних типових проектів. </w:t>
      </w:r>
    </w:p>
    <w:p w:rsidR="00BC5297" w:rsidRDefault="00BC5297" w:rsidP="00BC5297">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Розміри витрат теплоти, по періодах – опалювальний/неопалювальний (а) та електричних навантажень (б), складуть:</w:t>
      </w:r>
    </w:p>
    <w:p w:rsidR="00BC5297" w:rsidRDefault="00BC5297" w:rsidP="00BC5297">
      <w:pPr>
        <w:spacing w:after="0" w:line="360" w:lineRule="auto"/>
        <w:jc w:val="both"/>
        <w:rPr>
          <w:rFonts w:ascii="Times New Roman" w:hAnsi="Times New Roman"/>
          <w:sz w:val="26"/>
          <w:szCs w:val="26"/>
          <w:lang w:val="uk-UA"/>
        </w:rPr>
      </w:pPr>
      <w:r>
        <w:rPr>
          <w:rFonts w:ascii="Times New Roman" w:hAnsi="Times New Roman"/>
          <w:sz w:val="26"/>
          <w:szCs w:val="26"/>
          <w:lang w:val="uk-UA"/>
        </w:rPr>
        <w:t xml:space="preserve">І. Оздоровчо-рекреаційна зона на 10,7 тис. відпочивальників – згідно розробленому проекту «Детальний план території міжнародної клініки відновного лікування на Арабатській Стрілці»: </w:t>
      </w:r>
    </w:p>
    <w:p w:rsidR="00BC5297" w:rsidRDefault="00BC5297" w:rsidP="00BC5297">
      <w:pPr>
        <w:pStyle w:val="a3"/>
        <w:spacing w:line="360" w:lineRule="auto"/>
        <w:ind w:left="0" w:firstLine="709"/>
        <w:jc w:val="both"/>
        <w:rPr>
          <w:sz w:val="26"/>
          <w:szCs w:val="26"/>
          <w:lang w:val="uk-UA"/>
        </w:rPr>
      </w:pPr>
      <w:r>
        <w:rPr>
          <w:sz w:val="26"/>
          <w:szCs w:val="26"/>
          <w:lang w:val="uk-UA"/>
        </w:rPr>
        <w:t>а) 86,00/35,61МВт;</w:t>
      </w:r>
    </w:p>
    <w:p w:rsidR="00BC5297" w:rsidRDefault="00BC5297" w:rsidP="00BC5297">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б) 15,5МВт (для опалення установ оздоровчих зон електроенергією, навантаження розраховано додатково згідно існуючих нормативів - 16,1МВт).</w:t>
      </w:r>
    </w:p>
    <w:p w:rsidR="00BC5297" w:rsidRDefault="00BC5297" w:rsidP="00BC5297">
      <w:pPr>
        <w:spacing w:after="0" w:line="360" w:lineRule="auto"/>
        <w:jc w:val="both"/>
        <w:rPr>
          <w:rFonts w:ascii="Times New Roman" w:hAnsi="Times New Roman"/>
          <w:sz w:val="26"/>
          <w:szCs w:val="26"/>
          <w:lang w:val="uk-UA"/>
        </w:rPr>
      </w:pPr>
      <w:r>
        <w:rPr>
          <w:rFonts w:ascii="Times New Roman" w:hAnsi="Times New Roman"/>
          <w:sz w:val="26"/>
          <w:szCs w:val="26"/>
          <w:lang w:val="uk-UA"/>
        </w:rPr>
        <w:t>ІІ. Оздоровча зона на 2,5 тис. відпочивальників:</w:t>
      </w:r>
    </w:p>
    <w:p w:rsidR="00BC5297" w:rsidRDefault="00BC5297" w:rsidP="00BC5297">
      <w:pPr>
        <w:pStyle w:val="a3"/>
        <w:spacing w:line="360" w:lineRule="auto"/>
        <w:ind w:left="0" w:firstLine="709"/>
        <w:jc w:val="both"/>
        <w:rPr>
          <w:sz w:val="26"/>
          <w:szCs w:val="26"/>
          <w:lang w:val="uk-UA"/>
        </w:rPr>
      </w:pPr>
      <w:r>
        <w:rPr>
          <w:sz w:val="26"/>
          <w:szCs w:val="26"/>
          <w:lang w:val="uk-UA"/>
        </w:rPr>
        <w:t>а) 20,10/8,32 МВт;</w:t>
      </w:r>
    </w:p>
    <w:p w:rsidR="00BC5297" w:rsidRDefault="00BC5297" w:rsidP="00BC5297">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б) 7,4МВт (в тому числі на електроопалення – 3,8МВт).</w:t>
      </w:r>
    </w:p>
    <w:p w:rsidR="00BC5297" w:rsidRDefault="00BC5297" w:rsidP="00BC5297">
      <w:pPr>
        <w:spacing w:after="0" w:line="360" w:lineRule="auto"/>
        <w:jc w:val="both"/>
        <w:rPr>
          <w:rFonts w:ascii="Times New Roman" w:hAnsi="Times New Roman"/>
          <w:sz w:val="26"/>
          <w:szCs w:val="26"/>
          <w:lang w:val="uk-UA"/>
        </w:rPr>
      </w:pPr>
      <w:r>
        <w:rPr>
          <w:rFonts w:ascii="Times New Roman" w:hAnsi="Times New Roman"/>
          <w:sz w:val="26"/>
          <w:szCs w:val="26"/>
          <w:lang w:val="uk-UA"/>
        </w:rPr>
        <w:t>ІІІ. Парково-громадська зона:</w:t>
      </w:r>
    </w:p>
    <w:p w:rsidR="00BC5297" w:rsidRDefault="00BC5297" w:rsidP="00BC5297">
      <w:pPr>
        <w:pStyle w:val="a3"/>
        <w:spacing w:line="360" w:lineRule="auto"/>
        <w:ind w:left="0" w:firstLine="709"/>
        <w:jc w:val="both"/>
        <w:rPr>
          <w:sz w:val="26"/>
          <w:szCs w:val="26"/>
          <w:lang w:val="uk-UA"/>
        </w:rPr>
      </w:pPr>
      <w:r>
        <w:rPr>
          <w:sz w:val="26"/>
          <w:szCs w:val="26"/>
          <w:lang w:val="uk-UA"/>
        </w:rPr>
        <w:t>а) 6,03/0,06 МВт;</w:t>
      </w:r>
    </w:p>
    <w:p w:rsidR="00BC5297" w:rsidRDefault="00BC5297" w:rsidP="00BC5297">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б) 10,1МВт (в тому числі на електроопалення – 4,8МВт).</w:t>
      </w:r>
    </w:p>
    <w:p w:rsidR="00BC5297" w:rsidRDefault="00BC5297" w:rsidP="00BC5297">
      <w:pPr>
        <w:spacing w:after="0" w:line="360" w:lineRule="auto"/>
        <w:jc w:val="both"/>
        <w:rPr>
          <w:rFonts w:ascii="Times New Roman" w:hAnsi="Times New Roman"/>
          <w:sz w:val="26"/>
          <w:szCs w:val="26"/>
          <w:lang w:val="uk-UA"/>
        </w:rPr>
      </w:pPr>
      <w:r>
        <w:rPr>
          <w:rFonts w:ascii="Times New Roman" w:hAnsi="Times New Roman"/>
          <w:sz w:val="26"/>
          <w:szCs w:val="26"/>
          <w:lang w:val="uk-UA"/>
        </w:rPr>
        <w:t>Всього для енергопостачання «Міста майбутнього» «InterMedicalEcoCity» необхідно:</w:t>
      </w:r>
    </w:p>
    <w:p w:rsidR="00BC5297" w:rsidRDefault="00BC5297" w:rsidP="00BC5297">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а) 112,13/43,99МВт;</w:t>
      </w:r>
    </w:p>
    <w:p w:rsidR="00BC5297" w:rsidRDefault="00BC5297" w:rsidP="00BC5297">
      <w:pPr>
        <w:spacing w:after="0" w:line="360" w:lineRule="auto"/>
        <w:ind w:firstLine="709"/>
        <w:jc w:val="both"/>
        <w:rPr>
          <w:rFonts w:ascii="Times New Roman" w:hAnsi="Times New Roman"/>
          <w:sz w:val="26"/>
          <w:szCs w:val="26"/>
          <w:lang w:val="uk-UA" w:eastAsia="uk-UA"/>
        </w:rPr>
      </w:pPr>
      <w:r>
        <w:rPr>
          <w:rFonts w:ascii="Times New Roman" w:hAnsi="Times New Roman"/>
          <w:sz w:val="26"/>
          <w:szCs w:val="26"/>
          <w:lang w:val="uk-UA"/>
        </w:rPr>
        <w:t xml:space="preserve">б) 49,1МВт (в тому числі на електроопалення оздоровчих, </w:t>
      </w:r>
      <w:r>
        <w:rPr>
          <w:rFonts w:ascii="Times New Roman" w:hAnsi="Times New Roman"/>
          <w:sz w:val="26"/>
          <w:szCs w:val="26"/>
          <w:lang w:val="uk-UA" w:eastAsia="uk-UA"/>
        </w:rPr>
        <w:t>рекреаційних та громадських установ – 24,7МВт).</w:t>
      </w:r>
    </w:p>
    <w:p w:rsidR="00BC5297" w:rsidRDefault="00BC5297" w:rsidP="00BC5297"/>
    <w:p w:rsidR="00000000" w:rsidRDefault="00BC5297"/>
    <w:sectPr w:rsidR="000000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useFELayout/>
  </w:compat>
  <w:rsids>
    <w:rsidRoot w:val="00BC5297"/>
    <w:rsid w:val="00BC52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5297"/>
    <w:pPr>
      <w:spacing w:after="0" w:line="240" w:lineRule="auto"/>
      <w:ind w:left="720"/>
      <w:contextualSpacing/>
    </w:pPr>
    <w:rPr>
      <w:rFonts w:ascii="Times New Roman" w:eastAsia="Times New Roman" w:hAnsi="Times New Roman" w:cs="Times New Roman"/>
      <w:sz w:val="20"/>
      <w:szCs w:val="20"/>
      <w:lang w:val="en-GB"/>
    </w:rPr>
  </w:style>
</w:styles>
</file>

<file path=word/webSettings.xml><?xml version="1.0" encoding="utf-8"?>
<w:webSettings xmlns:r="http://schemas.openxmlformats.org/officeDocument/2006/relationships" xmlns:w="http://schemas.openxmlformats.org/wordprocessingml/2006/main">
  <w:divs>
    <w:div w:id="154798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2237</Words>
  <Characters>12752</Characters>
  <Application>Microsoft Office Word</Application>
  <DocSecurity>0</DocSecurity>
  <Lines>106</Lines>
  <Paragraphs>29</Paragraphs>
  <ScaleCrop>false</ScaleCrop>
  <Company/>
  <LinksUpToDate>false</LinksUpToDate>
  <CharactersWithSpaces>14960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Суленко</dc:creator>
  <cp:keywords/>
  <dc:description/>
  <cp:lastModifiedBy>Александр Суленко</cp:lastModifiedBy>
  <cp:revision>2</cp:revision>
  <dcterms:created xsi:type="dcterms:W3CDTF">2013-08-08T11:04:00Z</dcterms:created>
  <dcterms:modified xsi:type="dcterms:W3CDTF">2013-08-08T11:04:00Z</dcterms:modified>
</cp:coreProperties>
</file>