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F6B" w:rsidRDefault="00286F6B" w:rsidP="00286F6B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>4.1.2.4. Внутрішній транспорт</w:t>
      </w:r>
    </w:p>
    <w:p w:rsidR="00286F6B" w:rsidRDefault="00286F6B" w:rsidP="00286F6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</w:p>
    <w:p w:rsidR="00286F6B" w:rsidRDefault="00286F6B" w:rsidP="00286F6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На перспективу територію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 планується майже повністю вивільнити від транспорту (залишити лише транспорт екстрених служб: міліція, швидка допомога, пожежна), який погіршує екологічний стан. Обслуговування відпочивальників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 буде виконуватись електротранспортом та велосипедами.</w:t>
      </w:r>
    </w:p>
    <w:p w:rsidR="00286F6B" w:rsidRDefault="00286F6B" w:rsidP="00286F6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Для забезпечення необхідного рівня безпеки руху електротранспорту,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велотранспорту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та пішоходів передбачається організація наземних пішохідних переходів на перехрестях та у фокусах формування пішохідного руху відповідно до нормативних показників і розміткою типу «Зебра».</w:t>
      </w:r>
    </w:p>
    <w:p w:rsidR="00286F6B" w:rsidRDefault="00286F6B" w:rsidP="00286F6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Кількість місць зберігання автотранспорту визначається виходячи з специфіки зони (що проектується), кількості відпочивальників, наявності обслуговуючого персоналу та очікуваного рівня автомобілізації.</w:t>
      </w:r>
    </w:p>
    <w:p w:rsidR="00286F6B" w:rsidRDefault="00286F6B" w:rsidP="00286F6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Для постійного зберігання індивідуальних легкових автомобілів відпочивальників та обслуговуючого персоналу (</w:t>
      </w:r>
      <w:r>
        <w:rPr>
          <w:rFonts w:ascii="Times New Roman" w:hAnsi="Times New Roman"/>
          <w:i/>
          <w:color w:val="000000"/>
          <w:sz w:val="26"/>
          <w:szCs w:val="26"/>
          <w:lang w:val="uk-UA"/>
        </w:rPr>
        <w:t>територія оздоровчо-рекреаційної та оздоровчої зони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) передбачено будівництво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перехоплюючої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автостоянки (багатоповерхового гаражу) на в’їзді – виїзді з Арабатської стрілки загальною кількістю 2200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машиномісць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(в максимально літній сезон). Поруч з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перехоплюючою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автостоянкою передбачено будівництво зупинки електропоїзда лінії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Радан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», для зручної пересадки з одного виду транспорту на інший.</w:t>
      </w:r>
    </w:p>
    <w:p w:rsidR="00286F6B" w:rsidRDefault="00286F6B" w:rsidP="00286F6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Обслуговування відпочивальників всередині території «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>» буде виконуватись електрокарами місткістю 4-6 місць. Зберігання електрокарів буде здійснюватись на територіях рекреаційних установ.</w:t>
      </w:r>
    </w:p>
    <w:p w:rsidR="00286F6B" w:rsidRDefault="00286F6B" w:rsidP="00286F6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Передбачено організацію стоянок для тимчасового зберігання електротранспорту (електрокарів) та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велотранспорту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біля громадських будинків та споруд масового відвідування. Нижче в таблиці 4.10 наведений розрахунок кількості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машиномісць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для тимчасового зберігання електротранспорту та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веломісць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для зберігання велосипедів.</w:t>
      </w:r>
    </w:p>
    <w:p w:rsidR="00286F6B" w:rsidRDefault="00286F6B" w:rsidP="00286F6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</w:p>
    <w:p w:rsidR="00286F6B" w:rsidRDefault="00286F6B" w:rsidP="00286F6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</w:p>
    <w:p w:rsidR="00286F6B" w:rsidRDefault="00286F6B" w:rsidP="00286F6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 xml:space="preserve">Таблиця 4.10 – Розрахунок кількості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машиномісць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для тимчасового зберігання електротранспорту та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веломісць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для зберігання велосипедів</w:t>
      </w:r>
    </w:p>
    <w:tbl>
      <w:tblPr>
        <w:tblW w:w="9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7"/>
        <w:gridCol w:w="1642"/>
        <w:gridCol w:w="1630"/>
        <w:gridCol w:w="1338"/>
        <w:gridCol w:w="1566"/>
      </w:tblGrid>
      <w:tr w:rsidR="00286F6B" w:rsidTr="003B67C4">
        <w:trPr>
          <w:trHeight w:val="765"/>
          <w:tblHeader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Назва установ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Кількість машино-місць (електрокари)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pageBreakBefore/>
              <w:spacing w:before="20" w:after="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Загальна площа (під електрокари), м</w:t>
            </w:r>
            <w:r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uk-UA"/>
              </w:rPr>
              <w:t>2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pageBreakBefore/>
              <w:spacing w:before="20" w:after="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Кількість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веломісць</w:t>
            </w:r>
            <w:proofErr w:type="spellEnd"/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pageBreakBefore/>
              <w:spacing w:before="20" w:after="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Загальна площа (під велосипеди), м</w:t>
            </w:r>
            <w:r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uk-UA"/>
              </w:rPr>
              <w:t>2</w:t>
            </w:r>
          </w:p>
        </w:tc>
      </w:tr>
      <w:tr w:rsidR="00286F6B" w:rsidTr="003B67C4">
        <w:trPr>
          <w:trHeight w:val="297"/>
          <w:jc w:val="center"/>
        </w:trPr>
        <w:tc>
          <w:tcPr>
            <w:tcW w:w="9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І. Оздоровчо-рекреаційна зона</w:t>
            </w:r>
          </w:p>
        </w:tc>
      </w:tr>
      <w:tr w:rsidR="00286F6B" w:rsidTr="003B67C4">
        <w:trPr>
          <w:trHeight w:val="765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Адміністративний будинок з бібліотекою, галереєю та виставковими залами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</w:tr>
      <w:tr w:rsidR="00286F6B" w:rsidTr="003B67C4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Культові споруди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</w:tr>
      <w:tr w:rsidR="00286F6B" w:rsidTr="003B67C4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Універсальний видовищно-розважальний центр (амфітеатр)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</w:tr>
      <w:tr w:rsidR="00286F6B" w:rsidTr="003B67C4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Терми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</w:tr>
      <w:tr w:rsidR="00286F6B" w:rsidTr="003B67C4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Спортивний клуб (на півдні)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286F6B" w:rsidTr="003B67C4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Спортивний кантрі-клуб (на півночі)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286F6B" w:rsidTr="003B67C4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Яхт-клуб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286F6B" w:rsidTr="003B67C4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 торгових комплекси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4×30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4×360=1440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4×15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4×18=72</w:t>
            </w:r>
          </w:p>
        </w:tc>
      </w:tr>
      <w:tr w:rsidR="00286F6B" w:rsidTr="003B67C4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Медичний коледж на 500 учнів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</w:tr>
      <w:tr w:rsidR="00286F6B" w:rsidTr="003B67C4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Етно-комплекси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 550 місць (зона №1)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2×100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2×1200=2400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2×60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2×72=144</w:t>
            </w:r>
          </w:p>
        </w:tc>
      </w:tr>
      <w:tr w:rsidR="00286F6B" w:rsidTr="003B67C4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Етно-комплекси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 200 місць (зона №2)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2×100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2×1200=2400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2×60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2×72=144</w:t>
            </w:r>
          </w:p>
        </w:tc>
      </w:tr>
      <w:tr w:rsidR="00286F6B" w:rsidTr="003B67C4">
        <w:trPr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Диско-клуби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(3 клуби по 200 місць)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3×30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3×360=1080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3×15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3×18=54</w:t>
            </w:r>
          </w:p>
        </w:tc>
      </w:tr>
      <w:tr w:rsidR="00286F6B" w:rsidTr="003B67C4">
        <w:trPr>
          <w:trHeight w:val="392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Комунальна зона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286F6B" w:rsidTr="003B67C4">
        <w:trPr>
          <w:trHeight w:val="210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Разом по оздоровчо-рекреаційній зоні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1055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12660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470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564</w:t>
            </w:r>
          </w:p>
        </w:tc>
      </w:tr>
      <w:tr w:rsidR="00286F6B" w:rsidTr="003B67C4">
        <w:trPr>
          <w:trHeight w:val="330"/>
          <w:jc w:val="center"/>
        </w:trPr>
        <w:tc>
          <w:tcPr>
            <w:tcW w:w="9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ІІІ. Парково-громадська зона</w:t>
            </w:r>
          </w:p>
        </w:tc>
      </w:tr>
      <w:tr w:rsidR="00286F6B" w:rsidTr="003B67C4">
        <w:trPr>
          <w:trHeight w:val="510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Універсальний розважальний центр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</w:tr>
      <w:tr w:rsidR="00286F6B" w:rsidTr="003B67C4">
        <w:trPr>
          <w:trHeight w:val="285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Спортивний центр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</w:tr>
      <w:tr w:rsidR="00286F6B" w:rsidTr="003B67C4">
        <w:trPr>
          <w:trHeight w:val="300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Торговий комплекс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144</w:t>
            </w:r>
          </w:p>
        </w:tc>
      </w:tr>
      <w:tr w:rsidR="00286F6B" w:rsidTr="003B67C4">
        <w:trPr>
          <w:trHeight w:val="315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Діснейленд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</w:p>
        </w:tc>
      </w:tr>
      <w:tr w:rsidR="00286F6B" w:rsidTr="003B67C4">
        <w:trPr>
          <w:trHeight w:val="330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Аквапарк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</w:p>
        </w:tc>
      </w:tr>
      <w:tr w:rsidR="00286F6B" w:rsidTr="003B67C4">
        <w:trPr>
          <w:trHeight w:val="180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Разом по парково-громадській зоні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360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4320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440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528</w:t>
            </w:r>
          </w:p>
        </w:tc>
      </w:tr>
      <w:tr w:rsidR="00286F6B" w:rsidTr="003B67C4">
        <w:trPr>
          <w:trHeight w:val="435"/>
          <w:jc w:val="center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 по 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IntermedicalEcoCity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1415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16980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910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F6B" w:rsidRDefault="00286F6B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1092</w:t>
            </w:r>
          </w:p>
        </w:tc>
      </w:tr>
    </w:tbl>
    <w:p w:rsidR="00000000" w:rsidRDefault="00286F6B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86F6B"/>
    <w:rsid w:val="00286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2013-08-08T11:04:00Z</dcterms:created>
  <dcterms:modified xsi:type="dcterms:W3CDTF">2013-08-08T11:04:00Z</dcterms:modified>
</cp:coreProperties>
</file>