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179" w:rsidRDefault="00BC4179" w:rsidP="00BC4179">
      <w:pPr>
        <w:keepNext/>
        <w:spacing w:after="0" w:line="360" w:lineRule="auto"/>
        <w:jc w:val="center"/>
        <w:rPr>
          <w:rFonts w:ascii="Times New Roman" w:hAnsi="Times New Roman"/>
          <w:b/>
          <w:i/>
          <w:color w:val="000000"/>
          <w:sz w:val="26"/>
          <w:szCs w:val="26"/>
          <w:lang w:val="uk-UA"/>
        </w:rPr>
      </w:pPr>
      <w:r>
        <w:rPr>
          <w:rFonts w:ascii="Times New Roman" w:hAnsi="Times New Roman"/>
          <w:b/>
          <w:i/>
          <w:color w:val="000000"/>
          <w:sz w:val="26"/>
          <w:szCs w:val="26"/>
          <w:lang w:val="uk-UA"/>
        </w:rPr>
        <w:t>3.2.4.1. Транспорт</w:t>
      </w:r>
    </w:p>
    <w:p w:rsidR="00BC4179" w:rsidRDefault="00BC4179" w:rsidP="00BC4179">
      <w:pPr>
        <w:keepNext/>
        <w:spacing w:after="0" w:line="360" w:lineRule="auto"/>
        <w:jc w:val="center"/>
        <w:rPr>
          <w:rFonts w:ascii="Times New Roman" w:hAnsi="Times New Roman"/>
          <w:i/>
          <w:color w:val="000000"/>
          <w:sz w:val="26"/>
          <w:szCs w:val="26"/>
          <w:lang w:val="uk-UA"/>
        </w:rPr>
      </w:pPr>
      <w:r>
        <w:rPr>
          <w:rFonts w:ascii="Times New Roman" w:hAnsi="Times New Roman"/>
          <w:i/>
          <w:color w:val="000000"/>
          <w:sz w:val="26"/>
          <w:szCs w:val="26"/>
          <w:lang w:val="uk-UA"/>
        </w:rPr>
        <w:t>Зовнішній транспорт</w:t>
      </w:r>
    </w:p>
    <w:p w:rsidR="00BC4179" w:rsidRDefault="00BC4179" w:rsidP="00BC4179">
      <w:pPr>
        <w:spacing w:after="0" w:line="360" w:lineRule="auto"/>
        <w:jc w:val="center"/>
        <w:rPr>
          <w:rFonts w:ascii="Times New Roman" w:hAnsi="Times New Roman"/>
          <w:color w:val="000000"/>
          <w:sz w:val="26"/>
          <w:szCs w:val="26"/>
          <w:u w:val="single"/>
          <w:lang w:val="uk-UA"/>
        </w:rPr>
      </w:pPr>
      <w:r>
        <w:rPr>
          <w:rFonts w:ascii="Times New Roman" w:hAnsi="Times New Roman"/>
          <w:color w:val="000000"/>
          <w:sz w:val="26"/>
          <w:szCs w:val="26"/>
          <w:u w:val="single"/>
          <w:lang w:val="uk-UA"/>
        </w:rPr>
        <w:t>Автомобільні дороги</w:t>
      </w:r>
    </w:p>
    <w:p w:rsidR="00BC4179" w:rsidRDefault="00BC4179" w:rsidP="00BC4179">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 xml:space="preserve">Обслуговування території «IntermedicalEcoCity» буде виконуватись по існуючим автомобільним дорогам державного значення: </w:t>
      </w:r>
    </w:p>
    <w:p w:rsidR="00BC4179" w:rsidRDefault="00BC4179" w:rsidP="00BC4179">
      <w:pPr>
        <w:pStyle w:val="a3"/>
        <w:numPr>
          <w:ilvl w:val="0"/>
          <w:numId w:val="1"/>
        </w:numPr>
        <w:tabs>
          <w:tab w:val="num" w:pos="-6946"/>
        </w:tabs>
        <w:spacing w:after="0" w:line="360" w:lineRule="auto"/>
        <w:ind w:left="142" w:firstLine="709"/>
        <w:jc w:val="both"/>
        <w:rPr>
          <w:rFonts w:ascii="Times New Roman" w:hAnsi="Times New Roman"/>
          <w:color w:val="000000"/>
          <w:sz w:val="26"/>
          <w:szCs w:val="26"/>
          <w:lang w:val="uk-UA"/>
        </w:rPr>
      </w:pPr>
      <w:r>
        <w:rPr>
          <w:rFonts w:ascii="Times New Roman" w:hAnsi="Times New Roman"/>
          <w:color w:val="000000"/>
          <w:sz w:val="26"/>
          <w:szCs w:val="26"/>
          <w:lang w:val="uk-UA"/>
        </w:rPr>
        <w:t>Міжнародній М–18 сполученням Харків – Сімферополь – Алушта – Ялта. Траса автомобільної дороги співпадає з трасою міжнародної європейської магістралі Е105 Москва-Орел-Харків-Сімферополь-Алушта-Ялта. Проїзна частина дороги відповідає параметрам ІІ технічної категорії. Автомобільна дорога зв’яже Російську Федерацію та східні області України з територією «IntermedicalEcoCity»;</w:t>
      </w:r>
    </w:p>
    <w:p w:rsidR="00BC4179" w:rsidRDefault="00BC4179" w:rsidP="00BC4179">
      <w:pPr>
        <w:pStyle w:val="a3"/>
        <w:numPr>
          <w:ilvl w:val="0"/>
          <w:numId w:val="1"/>
        </w:numPr>
        <w:spacing w:after="0" w:line="360" w:lineRule="auto"/>
        <w:ind w:left="142" w:firstLine="709"/>
        <w:jc w:val="both"/>
        <w:rPr>
          <w:rFonts w:ascii="Times New Roman" w:hAnsi="Times New Roman"/>
          <w:color w:val="000000"/>
          <w:sz w:val="26"/>
          <w:szCs w:val="26"/>
          <w:lang w:val="uk-UA"/>
        </w:rPr>
      </w:pPr>
      <w:r>
        <w:rPr>
          <w:rFonts w:ascii="Times New Roman" w:hAnsi="Times New Roman"/>
          <w:color w:val="000000"/>
          <w:sz w:val="26"/>
          <w:szCs w:val="26"/>
          <w:lang w:val="uk-UA"/>
        </w:rPr>
        <w:t xml:space="preserve">Регіональній Р–47 сполученням Херсон – Нова Каховка – Генічеськ. Автомобільна дорога співпадає з трасою міжнародного транспортного коридору, що передбачений до реконструкції </w:t>
      </w:r>
      <w:r>
        <w:rPr>
          <w:rFonts w:ascii="Times New Roman" w:hAnsi="Times New Roman"/>
          <w:i/>
          <w:color w:val="000000"/>
          <w:sz w:val="26"/>
          <w:szCs w:val="26"/>
          <w:lang w:val="uk-UA"/>
        </w:rPr>
        <w:t>Євроазіатський</w:t>
      </w:r>
      <w:r>
        <w:rPr>
          <w:rFonts w:ascii="Times New Roman" w:hAnsi="Times New Roman"/>
          <w:color w:val="000000"/>
          <w:sz w:val="26"/>
          <w:szCs w:val="26"/>
          <w:lang w:val="uk-UA"/>
        </w:rPr>
        <w:t xml:space="preserve"> Одеса – Миколаїв – Херсон – Джанкой – Керч. Автомобільна дорога зв’яже територію «IntermedicalEcoCity» з центральними та західними областями України. </w:t>
      </w:r>
    </w:p>
    <w:p w:rsidR="00BC4179" w:rsidRDefault="00BC4179" w:rsidP="00BC4179">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Безпосередньо через територію Арабатської стрілки проходить автомобільна дорога місцевого значення О220706 Генічеськ – Стрілкове. Дорога має IV технічну категорію.</w:t>
      </w:r>
    </w:p>
    <w:p w:rsidR="00BC4179" w:rsidRDefault="00BC4179" w:rsidP="00BC4179">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На перспективу при будівництві території «IntermedicalEcoCity» передбачений ряд заходів з розвитку автомобільних доріг:</w:t>
      </w:r>
    </w:p>
    <w:p w:rsidR="00BC4179" w:rsidRDefault="00BC4179" w:rsidP="00BC4179">
      <w:pPr>
        <w:numPr>
          <w:ilvl w:val="0"/>
          <w:numId w:val="2"/>
        </w:numPr>
        <w:tabs>
          <w:tab w:val="left" w:pos="900"/>
        </w:tabs>
        <w:spacing w:after="0" w:line="360" w:lineRule="auto"/>
        <w:ind w:left="0" w:firstLine="709"/>
        <w:jc w:val="both"/>
        <w:rPr>
          <w:rFonts w:ascii="Times New Roman" w:hAnsi="Times New Roman"/>
          <w:color w:val="000000"/>
          <w:sz w:val="26"/>
          <w:szCs w:val="26"/>
          <w:lang w:val="uk-UA"/>
        </w:rPr>
      </w:pPr>
      <w:r>
        <w:rPr>
          <w:rFonts w:ascii="Times New Roman" w:hAnsi="Times New Roman"/>
          <w:color w:val="000000"/>
          <w:sz w:val="26"/>
          <w:szCs w:val="26"/>
          <w:lang w:val="uk-UA"/>
        </w:rPr>
        <w:t xml:space="preserve">будівництво територіальної дороги державного значення, яка пройде від м. Генічеськ вздовж всієї Арабатської стрілки з подальшим будівництво автомобільного мосту через затоку Сиваш в районі с. Стрілкове та виходом на автомобільну дорогу державного значення М-18. Автомобільна дорога запроектована за параметрами ІІ технічної категорії з шириною проїзної частини </w:t>
      </w:r>
      <w:smartTag w:uri="urn:schemas-microsoft-com:office:smarttags" w:element="metricconverter">
        <w:smartTagPr>
          <w:attr w:name="ProductID" w:val="15,0 м"/>
        </w:smartTagPr>
        <w:r>
          <w:rPr>
            <w:rFonts w:ascii="Times New Roman" w:hAnsi="Times New Roman"/>
            <w:color w:val="000000"/>
            <w:sz w:val="26"/>
            <w:szCs w:val="26"/>
            <w:lang w:val="uk-UA"/>
          </w:rPr>
          <w:t>15,0 м</w:t>
        </w:r>
      </w:smartTag>
      <w:r>
        <w:rPr>
          <w:rFonts w:ascii="Times New Roman" w:hAnsi="Times New Roman"/>
          <w:color w:val="000000"/>
          <w:sz w:val="26"/>
          <w:szCs w:val="26"/>
          <w:lang w:val="uk-UA"/>
        </w:rPr>
        <w:t xml:space="preserve"> та пройде поза територіями «IntermedicalEcoCity», селищами Генічеська Гірка та Стрілкове. Будівництво автомобільного мосту через затоку Сиваш дозволить значно зменшити час проїзду від міжнародного аеропорту «Сімферополь» до території «IntermedicalEcoCity».</w:t>
      </w:r>
    </w:p>
    <w:p w:rsidR="00BC4179" w:rsidRDefault="00BC4179" w:rsidP="00BC4179">
      <w:pPr>
        <w:numPr>
          <w:ilvl w:val="0"/>
          <w:numId w:val="2"/>
        </w:numPr>
        <w:tabs>
          <w:tab w:val="left" w:pos="900"/>
        </w:tabs>
        <w:spacing w:after="0" w:line="360" w:lineRule="auto"/>
        <w:ind w:left="0" w:firstLine="709"/>
        <w:jc w:val="both"/>
        <w:rPr>
          <w:rFonts w:ascii="Times New Roman" w:hAnsi="Times New Roman"/>
          <w:color w:val="000000"/>
          <w:sz w:val="26"/>
          <w:szCs w:val="26"/>
          <w:lang w:val="uk-UA"/>
        </w:rPr>
      </w:pPr>
      <w:r>
        <w:rPr>
          <w:rFonts w:ascii="Times New Roman" w:hAnsi="Times New Roman"/>
          <w:color w:val="000000"/>
          <w:sz w:val="26"/>
          <w:szCs w:val="26"/>
          <w:lang w:val="uk-UA"/>
        </w:rPr>
        <w:lastRenderedPageBreak/>
        <w:t xml:space="preserve">реконструкція автомобільних доріг державного значення М-18 Харків – Сімферополь – Алушта – Ялта та Р–47 Херсон – Нова Каховка – Генічеськ за параметрами І технічної категорії з шириною проїзної частини </w:t>
      </w:r>
      <w:smartTag w:uri="urn:schemas-microsoft-com:office:smarttags" w:element="metricconverter">
        <w:smartTagPr>
          <w:attr w:name="ProductID" w:val="15,0 м"/>
        </w:smartTagPr>
        <w:r>
          <w:rPr>
            <w:rFonts w:ascii="Times New Roman" w:hAnsi="Times New Roman"/>
            <w:color w:val="000000"/>
            <w:sz w:val="26"/>
            <w:szCs w:val="26"/>
            <w:lang w:val="uk-UA"/>
          </w:rPr>
          <w:t>15,0 м</w:t>
        </w:r>
      </w:smartTag>
      <w:r>
        <w:rPr>
          <w:rFonts w:ascii="Times New Roman" w:hAnsi="Times New Roman"/>
          <w:color w:val="000000"/>
          <w:sz w:val="26"/>
          <w:szCs w:val="26"/>
          <w:lang w:val="uk-UA"/>
        </w:rPr>
        <w:t>.</w:t>
      </w:r>
    </w:p>
    <w:p w:rsidR="00BC4179" w:rsidRDefault="00BC4179" w:rsidP="00BC4179">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 xml:space="preserve">Існуюча автомобільна дорога місцевого значення О220706 Генічеськ – Стрілкове буде виконувати функції внутрішньо курортної та передбачено майже повністю вивільнити її від зовнішнього транспорту (окрім транспорту екстрених служб). </w:t>
      </w:r>
    </w:p>
    <w:p w:rsidR="00BC4179" w:rsidRDefault="00BC4179" w:rsidP="00BC4179">
      <w:pPr>
        <w:keepNext/>
        <w:spacing w:after="0" w:line="360" w:lineRule="auto"/>
        <w:jc w:val="center"/>
        <w:rPr>
          <w:rFonts w:ascii="Times New Roman" w:hAnsi="Times New Roman"/>
          <w:color w:val="000000"/>
          <w:sz w:val="26"/>
          <w:szCs w:val="26"/>
          <w:u w:val="single"/>
          <w:lang w:val="uk-UA"/>
        </w:rPr>
      </w:pPr>
      <w:r>
        <w:rPr>
          <w:rFonts w:ascii="Times New Roman" w:hAnsi="Times New Roman"/>
          <w:color w:val="000000"/>
          <w:sz w:val="26"/>
          <w:szCs w:val="26"/>
          <w:u w:val="single"/>
          <w:lang w:val="uk-UA"/>
        </w:rPr>
        <w:t>Залізничний транспорт</w:t>
      </w:r>
    </w:p>
    <w:p w:rsidR="00BC4179" w:rsidRDefault="00BC4179" w:rsidP="00BC4179">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Обслуговування території «IntermedicalEcoCity» залізничним транспортом передбачено залізничною станцією Новоолексіївка, яка розташована на двоколійній електрифікованій залізничний лінії Мелітополь – Джанкой.</w:t>
      </w:r>
    </w:p>
    <w:p w:rsidR="00BC4179" w:rsidRDefault="00BC4179" w:rsidP="00BC4179">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Крім того, відповідно до Концепції створення та функціонування національної мережі транспортних коридорів в Україна залізнична лінія Мелітополь – Джанкой є ділянкою залізничного транспортного коридору ЧЕС з відгалуженням – Рені – Ізмаїл – Одеса – Колосівка – Помічна – Знам’янка – Дніпропетровськ – Ясинувата – Квашине, Харків – Синельникове – Джанкой – Сімферополь – Севастополь, Колосівка – Миколаїв – Херсон – Чаплине – Бердянськ. В зв’язку з цим передбачена модернізація залізничної лінії та будівництво третьої колії на ділянці Мелітополь – Джанкой – Сімферополь. Зазначені заходи сприятимуть збільшенню кількість відпочивальників «IntermedicalEcoCity», які приїжджатимуть з південних областей України.</w:t>
      </w:r>
    </w:p>
    <w:p w:rsidR="00BC4179" w:rsidRDefault="00BC4179" w:rsidP="00BC4179">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На більш далеку перспективу (після початку функціонування «IntermedicalEcoCity») для підвезення відпочивальників до території «IntermedicalEcoCity» передбачено організувати наземну лінію легких та безшумних електропоїздів типу «Радан», яка пройде від залізничної станції Новоолексіївка до території «IntermedicalEcoCity». На лінії передбачено організувати зупинки: в районі ст.Новолексіївка, аеропорт «Генічеськ», біля перехоплюючої автостоянки на в’їзді до Арабатської стрілка та кінцева зупинка «IntermedicalEcoCity». Проходження «Радану» по території Арабатської стрілки передбачено вздовж проектної територіальної автомобільної дороги державного значення.</w:t>
      </w:r>
    </w:p>
    <w:p w:rsidR="00BC4179" w:rsidRDefault="00BC4179" w:rsidP="00BC4179">
      <w:pPr>
        <w:keepNext/>
        <w:spacing w:after="0" w:line="360" w:lineRule="auto"/>
        <w:jc w:val="center"/>
        <w:rPr>
          <w:rFonts w:ascii="Times New Roman" w:hAnsi="Times New Roman"/>
          <w:color w:val="000000"/>
          <w:sz w:val="26"/>
          <w:szCs w:val="26"/>
          <w:u w:val="single"/>
          <w:lang w:val="uk-UA"/>
        </w:rPr>
      </w:pPr>
      <w:r>
        <w:rPr>
          <w:rFonts w:ascii="Times New Roman" w:hAnsi="Times New Roman"/>
          <w:color w:val="000000"/>
          <w:sz w:val="26"/>
          <w:szCs w:val="26"/>
          <w:u w:val="single"/>
          <w:lang w:val="uk-UA"/>
        </w:rPr>
        <w:lastRenderedPageBreak/>
        <w:t>Повітряний транспорт</w:t>
      </w:r>
    </w:p>
    <w:p w:rsidR="00BC4179" w:rsidRDefault="00BC4179" w:rsidP="00BC4179">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 xml:space="preserve">Повітряні зв’язки території «IntermedicalEcoCity» будуть виконуватись міжнародним аеропортом «Сімферополь», новим аеропортом місцевого значення «Генічеськ» та гелікоптерами. </w:t>
      </w:r>
    </w:p>
    <w:p w:rsidR="00BC4179" w:rsidRDefault="00BC4179" w:rsidP="00BC4179">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 xml:space="preserve">Прийом відпочивальників з різних міст світу передбачено міжнародним аеропортом «Сімферополь». Доставка відпочивальників до «IntermedicalEcoCity» буде відбуватися автомобільним транспортом (по автомобільній дорозі М-18 та новому мосту через затоку Сиваш) та гелікоптерами. </w:t>
      </w:r>
    </w:p>
    <w:p w:rsidR="00BC4179" w:rsidRDefault="00BC4179" w:rsidP="00BC4179">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Крім того, на більш далеку перспективу (після початку функціонування «IntermedicalEcoCity») прийом відпочивальників з України передбачено аеропортом місцевого значення «Генічеськ», який передбачено збудувати в північній частині зони впливу м. Генічеськ на території колишнього аеродрому. Доставка відпочивальників до «IntermedicalEcoCity» буде здійснюватись гелікоптерами (безпосередньо з аеропорту «Генічеськ») та електропоїздами лінії «Радан».</w:t>
      </w:r>
    </w:p>
    <w:p w:rsidR="00BC4179" w:rsidRDefault="00BC4179" w:rsidP="00BC4179">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Також для вирішення питання повітряного сполучення між територією «Intermedical Eco City» та основними населеними пунктами області та аеропортами, передбачено розміщення гелікоптерних майданчиків, які забезпечать налагоджену роботу аварійно-рятувальних, медичних, санітарних служб та надання сервісного обслуговування відпочивальникам.</w:t>
      </w:r>
    </w:p>
    <w:p w:rsidR="00BC4179" w:rsidRDefault="00BC4179" w:rsidP="00BC4179">
      <w:pPr>
        <w:keepNext/>
        <w:spacing w:after="0" w:line="360" w:lineRule="auto"/>
        <w:jc w:val="center"/>
        <w:rPr>
          <w:rFonts w:ascii="Times New Roman" w:hAnsi="Times New Roman"/>
          <w:color w:val="000000"/>
          <w:sz w:val="26"/>
          <w:szCs w:val="26"/>
          <w:u w:val="single"/>
          <w:lang w:val="uk-UA"/>
        </w:rPr>
      </w:pPr>
      <w:r>
        <w:rPr>
          <w:rFonts w:ascii="Times New Roman" w:hAnsi="Times New Roman"/>
          <w:color w:val="000000"/>
          <w:sz w:val="26"/>
          <w:szCs w:val="26"/>
          <w:u w:val="single"/>
          <w:lang w:val="uk-UA"/>
        </w:rPr>
        <w:t>Морський транспорт</w:t>
      </w:r>
    </w:p>
    <w:p w:rsidR="00BC4179" w:rsidRDefault="00BC4179" w:rsidP="00BC4179">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 xml:space="preserve">По морському транспорту передбачено будівництво нового причалу для прийому суден безпосередньо на території «IntermedicalEcoCity». </w:t>
      </w:r>
    </w:p>
    <w:p w:rsidR="00BC4179" w:rsidRDefault="00BC4179" w:rsidP="00BC4179">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Крім того, передбачено організацію зв’язків нового причалу з морськими портами Запорізької та Донецької області, а також з портами АР Крим, для перевезення відпочивальників.</w:t>
      </w:r>
    </w:p>
    <w:p w:rsidR="00BC4179" w:rsidRDefault="00BC4179" w:rsidP="00BC4179">
      <w:pPr>
        <w:keepNext/>
        <w:spacing w:after="0" w:line="360" w:lineRule="auto"/>
        <w:jc w:val="center"/>
        <w:rPr>
          <w:rFonts w:ascii="Times New Roman" w:hAnsi="Times New Roman"/>
          <w:b/>
          <w:i/>
          <w:color w:val="000000"/>
          <w:sz w:val="28"/>
          <w:szCs w:val="28"/>
          <w:lang w:val="uk-UA"/>
        </w:rPr>
      </w:pPr>
    </w:p>
    <w:p w:rsidR="00BC4179" w:rsidRDefault="00BC4179" w:rsidP="00BC4179">
      <w:pPr>
        <w:keepNext/>
        <w:spacing w:after="0" w:line="360" w:lineRule="auto"/>
        <w:jc w:val="center"/>
        <w:rPr>
          <w:rFonts w:ascii="Times New Roman" w:hAnsi="Times New Roman"/>
          <w:i/>
          <w:color w:val="000000"/>
          <w:sz w:val="26"/>
          <w:szCs w:val="26"/>
          <w:lang w:val="uk-UA"/>
        </w:rPr>
      </w:pPr>
      <w:r>
        <w:rPr>
          <w:rFonts w:ascii="Times New Roman" w:hAnsi="Times New Roman"/>
          <w:i/>
          <w:color w:val="000000"/>
          <w:sz w:val="26"/>
          <w:szCs w:val="26"/>
          <w:lang w:val="uk-UA"/>
        </w:rPr>
        <w:t>Внутрішній транспорт</w:t>
      </w:r>
    </w:p>
    <w:p w:rsidR="00BC4179" w:rsidRDefault="00BC4179" w:rsidP="00BC4179">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 xml:space="preserve">На перспективу територію «IntermedicalEcoCity» планується майже повністю вивільнити від транспорту (залишити лише транспорт екстрених служб: міліція, швидка допомога, пожежна), який погіршує екологічний стан. Обслуговування </w:t>
      </w:r>
      <w:r>
        <w:rPr>
          <w:rFonts w:ascii="Times New Roman" w:hAnsi="Times New Roman"/>
          <w:color w:val="000000"/>
          <w:sz w:val="26"/>
          <w:szCs w:val="26"/>
          <w:lang w:val="uk-UA"/>
        </w:rPr>
        <w:lastRenderedPageBreak/>
        <w:t>відпочивальників «IntermedicalEcoCity» буде виконуватись електротранспортом та велосипедами.</w:t>
      </w:r>
    </w:p>
    <w:p w:rsidR="00BC4179" w:rsidRDefault="00BC4179" w:rsidP="00BC4179">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Для забезпечення необхідного рівня безпеки руху електротранспорту, велотранспорту та пішоходів передбачається організація наземних пішохідних переходів на перехрестях та у фокусах формування пішохідного руху відповідно до нормативних показників і розміткою типу «Зебра».</w:t>
      </w:r>
    </w:p>
    <w:p w:rsidR="00BC4179" w:rsidRDefault="00BC4179" w:rsidP="00BC4179">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Кількість місць зберігання автотранспорту визначається виходячи з специфіки зони (що проектується), кількості відпочивальників, наявності обслуговуючого персоналу та очікуваного рівня автомобілізації.</w:t>
      </w:r>
    </w:p>
    <w:p w:rsidR="00BC4179" w:rsidRDefault="00BC4179" w:rsidP="00BC4179">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Для постійного зберігання індивідуальних легкових автомобілів відпочивальників та обслуговуючого персоналу (</w:t>
      </w:r>
      <w:r>
        <w:rPr>
          <w:rFonts w:ascii="Times New Roman" w:hAnsi="Times New Roman"/>
          <w:i/>
          <w:color w:val="000000"/>
          <w:sz w:val="26"/>
          <w:szCs w:val="26"/>
          <w:lang w:val="uk-UA"/>
        </w:rPr>
        <w:t>територія оздоровчо-рекреаційної та оздоровчої зони</w:t>
      </w:r>
      <w:r>
        <w:rPr>
          <w:rFonts w:ascii="Times New Roman" w:hAnsi="Times New Roman"/>
          <w:color w:val="000000"/>
          <w:sz w:val="26"/>
          <w:szCs w:val="26"/>
          <w:lang w:val="uk-UA"/>
        </w:rPr>
        <w:t>) передбачено будівництво перехоплюючої автостоянки (багатоповерхового гаражу) на в’їзді – виїзді з Арабатської стрілки загальною кількістю 2200 машиномісць (в максимально літній сезон). Поруч з перехоплюючою автостоянкою передбачено будівництво зупинки електропоїзда лінії «Радан», для зручної пересадки з одного виду транспорту на інший.</w:t>
      </w:r>
    </w:p>
    <w:p w:rsidR="00BC4179" w:rsidRDefault="00BC4179" w:rsidP="00BC4179">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Обслуговування відпочивальників всередині території «IntermedicalEcoCity» буде виконуватись електрокарами місткістю 4-6 місць. Зберігання електрокарів буде здійснюватись на територіях рекреаційних установ.</w:t>
      </w:r>
    </w:p>
    <w:p w:rsidR="00BC4179" w:rsidRDefault="00BC4179" w:rsidP="00BC4179">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Передбачено організацію стоянок для тимчасового зберігання електротранспорту (електрокарів) та велотранспорту біля громадських будинків та споруд масового відвідування. Нижче в таблиці 3.3 наведений розрахунок кількості машиномісць для тимчасового зберігання електротранспорту та веломісць для зберігання велосипедів.</w:t>
      </w:r>
    </w:p>
    <w:p w:rsidR="00BC4179" w:rsidRDefault="00BC4179" w:rsidP="00BC4179">
      <w:pPr>
        <w:spacing w:after="0" w:line="360" w:lineRule="auto"/>
        <w:ind w:firstLine="709"/>
        <w:jc w:val="both"/>
        <w:rPr>
          <w:rFonts w:ascii="Times New Roman" w:hAnsi="Times New Roman"/>
          <w:color w:val="000000"/>
          <w:sz w:val="26"/>
          <w:szCs w:val="26"/>
          <w:lang w:val="uk-UA"/>
        </w:rPr>
      </w:pPr>
    </w:p>
    <w:p w:rsidR="00BC4179" w:rsidRDefault="00BC4179" w:rsidP="00BC4179">
      <w:pPr>
        <w:spacing w:after="0" w:line="360" w:lineRule="auto"/>
        <w:ind w:firstLine="709"/>
        <w:jc w:val="both"/>
        <w:rPr>
          <w:rFonts w:ascii="Times New Roman" w:hAnsi="Times New Roman"/>
          <w:color w:val="000000"/>
          <w:sz w:val="26"/>
          <w:szCs w:val="26"/>
          <w:lang w:val="uk-UA"/>
        </w:rPr>
      </w:pPr>
    </w:p>
    <w:p w:rsidR="00BC4179" w:rsidRDefault="00BC4179" w:rsidP="00BC4179">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Таблиця 3.3 – Розрахунок кількості машиномісць для тимчасового зберігання електротранспорту та веломісць для зберігання велосипедів</w:t>
      </w:r>
    </w:p>
    <w:tbl>
      <w:tblPr>
        <w:tblW w:w="9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7"/>
        <w:gridCol w:w="1642"/>
        <w:gridCol w:w="1630"/>
        <w:gridCol w:w="1338"/>
        <w:gridCol w:w="1566"/>
      </w:tblGrid>
      <w:tr w:rsidR="00BC4179" w:rsidTr="00BC4179">
        <w:trPr>
          <w:trHeight w:val="765"/>
          <w:tblHeade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b/>
                <w:sz w:val="20"/>
                <w:szCs w:val="20"/>
                <w:lang w:val="uk-UA"/>
              </w:rPr>
              <w:t>Назва установ</w:t>
            </w:r>
          </w:p>
        </w:tc>
        <w:tc>
          <w:tcPr>
            <w:tcW w:w="1642"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b/>
                <w:sz w:val="20"/>
                <w:szCs w:val="20"/>
                <w:lang w:val="uk-UA"/>
              </w:rPr>
              <w:t>Кількість машино-місць (електрокари)</w:t>
            </w:r>
          </w:p>
        </w:tc>
        <w:tc>
          <w:tcPr>
            <w:tcW w:w="1630" w:type="dxa"/>
            <w:tcBorders>
              <w:top w:val="single" w:sz="4" w:space="0" w:color="auto"/>
              <w:left w:val="single" w:sz="4" w:space="0" w:color="auto"/>
              <w:bottom w:val="single" w:sz="4" w:space="0" w:color="auto"/>
              <w:right w:val="single" w:sz="4" w:space="0" w:color="auto"/>
            </w:tcBorders>
            <w:vAlign w:val="center"/>
            <w:hideMark/>
          </w:tcPr>
          <w:p w:rsidR="00BC4179" w:rsidRDefault="00BC4179">
            <w:pPr>
              <w:pageBreakBefore/>
              <w:spacing w:before="20" w:after="20" w:line="240" w:lineRule="auto"/>
              <w:jc w:val="center"/>
              <w:rPr>
                <w:rFonts w:ascii="Times New Roman" w:hAnsi="Times New Roman"/>
                <w:b/>
                <w:sz w:val="20"/>
                <w:szCs w:val="20"/>
                <w:vertAlign w:val="superscript"/>
                <w:lang w:val="uk-UA"/>
              </w:rPr>
            </w:pPr>
            <w:r>
              <w:rPr>
                <w:rFonts w:ascii="Times New Roman" w:hAnsi="Times New Roman"/>
                <w:b/>
                <w:sz w:val="20"/>
                <w:szCs w:val="20"/>
                <w:lang w:val="uk-UA"/>
              </w:rPr>
              <w:t>Загальна площа (під електрокари), м</w:t>
            </w:r>
            <w:r>
              <w:rPr>
                <w:rFonts w:ascii="Times New Roman" w:hAnsi="Times New Roman"/>
                <w:b/>
                <w:sz w:val="20"/>
                <w:szCs w:val="20"/>
                <w:vertAlign w:val="superscript"/>
                <w:lang w:val="uk-UA"/>
              </w:rPr>
              <w:t>2</w:t>
            </w:r>
          </w:p>
        </w:tc>
        <w:tc>
          <w:tcPr>
            <w:tcW w:w="1338" w:type="dxa"/>
            <w:tcBorders>
              <w:top w:val="single" w:sz="4" w:space="0" w:color="auto"/>
              <w:left w:val="single" w:sz="4" w:space="0" w:color="auto"/>
              <w:bottom w:val="single" w:sz="4" w:space="0" w:color="auto"/>
              <w:right w:val="single" w:sz="4" w:space="0" w:color="auto"/>
            </w:tcBorders>
            <w:vAlign w:val="center"/>
            <w:hideMark/>
          </w:tcPr>
          <w:p w:rsidR="00BC4179" w:rsidRDefault="00BC4179">
            <w:pPr>
              <w:pageBreakBefore/>
              <w:spacing w:before="20" w:after="20" w:line="240" w:lineRule="auto"/>
              <w:jc w:val="center"/>
              <w:rPr>
                <w:rFonts w:ascii="Times New Roman" w:hAnsi="Times New Roman"/>
                <w:b/>
                <w:sz w:val="20"/>
                <w:szCs w:val="20"/>
                <w:lang w:val="uk-UA"/>
              </w:rPr>
            </w:pPr>
            <w:r>
              <w:rPr>
                <w:rFonts w:ascii="Times New Roman" w:hAnsi="Times New Roman"/>
                <w:b/>
                <w:sz w:val="20"/>
                <w:szCs w:val="20"/>
                <w:lang w:val="uk-UA"/>
              </w:rPr>
              <w:t>Кількість веломісць</w:t>
            </w:r>
          </w:p>
        </w:tc>
        <w:tc>
          <w:tcPr>
            <w:tcW w:w="1566" w:type="dxa"/>
            <w:tcBorders>
              <w:top w:val="single" w:sz="4" w:space="0" w:color="auto"/>
              <w:left w:val="single" w:sz="4" w:space="0" w:color="auto"/>
              <w:bottom w:val="single" w:sz="4" w:space="0" w:color="auto"/>
              <w:right w:val="single" w:sz="4" w:space="0" w:color="auto"/>
            </w:tcBorders>
            <w:vAlign w:val="center"/>
            <w:hideMark/>
          </w:tcPr>
          <w:p w:rsidR="00BC4179" w:rsidRDefault="00BC4179">
            <w:pPr>
              <w:pageBreakBefore/>
              <w:spacing w:before="20" w:after="20" w:line="240" w:lineRule="auto"/>
              <w:jc w:val="center"/>
              <w:rPr>
                <w:rFonts w:ascii="Times New Roman" w:hAnsi="Times New Roman"/>
                <w:b/>
                <w:sz w:val="20"/>
                <w:szCs w:val="20"/>
                <w:vertAlign w:val="superscript"/>
                <w:lang w:val="uk-UA"/>
              </w:rPr>
            </w:pPr>
            <w:r>
              <w:rPr>
                <w:rFonts w:ascii="Times New Roman" w:hAnsi="Times New Roman"/>
                <w:b/>
                <w:sz w:val="20"/>
                <w:szCs w:val="20"/>
                <w:lang w:val="uk-UA"/>
              </w:rPr>
              <w:t>Загальна площа (під велосипеди), м</w:t>
            </w:r>
            <w:r>
              <w:rPr>
                <w:rFonts w:ascii="Times New Roman" w:hAnsi="Times New Roman"/>
                <w:b/>
                <w:sz w:val="20"/>
                <w:szCs w:val="20"/>
                <w:vertAlign w:val="superscript"/>
                <w:lang w:val="uk-UA"/>
              </w:rPr>
              <w:t>2</w:t>
            </w:r>
          </w:p>
        </w:tc>
      </w:tr>
      <w:tr w:rsidR="00BC4179" w:rsidTr="00BC4179">
        <w:trPr>
          <w:trHeight w:val="297"/>
          <w:jc w:val="center"/>
        </w:trPr>
        <w:tc>
          <w:tcPr>
            <w:tcW w:w="9523" w:type="dxa"/>
            <w:gridSpan w:val="5"/>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b/>
                <w:sz w:val="24"/>
                <w:szCs w:val="24"/>
                <w:lang w:val="uk-UA"/>
              </w:rPr>
              <w:t>І. Оздоровчо-рекреаційна зона</w:t>
            </w:r>
          </w:p>
        </w:tc>
      </w:tr>
      <w:tr w:rsidR="00BC4179" w:rsidTr="00BC4179">
        <w:trPr>
          <w:trHeight w:val="765"/>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rPr>
                <w:rFonts w:ascii="Times New Roman" w:hAnsi="Times New Roman"/>
                <w:sz w:val="24"/>
                <w:szCs w:val="24"/>
                <w:lang w:val="uk-UA"/>
              </w:rPr>
            </w:pPr>
            <w:r>
              <w:rPr>
                <w:rFonts w:ascii="Times New Roman" w:hAnsi="Times New Roman"/>
                <w:sz w:val="24"/>
                <w:szCs w:val="24"/>
                <w:lang w:val="uk-UA"/>
              </w:rPr>
              <w:lastRenderedPageBreak/>
              <w:t>Адміністративний будинок з бібліотекою, галереєю та виставковими залами</w:t>
            </w:r>
          </w:p>
        </w:tc>
        <w:tc>
          <w:tcPr>
            <w:tcW w:w="1642"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10</w:t>
            </w:r>
          </w:p>
        </w:tc>
        <w:tc>
          <w:tcPr>
            <w:tcW w:w="1630"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120</w:t>
            </w:r>
          </w:p>
        </w:tc>
        <w:tc>
          <w:tcPr>
            <w:tcW w:w="1338"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15</w:t>
            </w:r>
          </w:p>
        </w:tc>
        <w:tc>
          <w:tcPr>
            <w:tcW w:w="1566"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18</w:t>
            </w:r>
          </w:p>
        </w:tc>
      </w:tr>
      <w:tr w:rsidR="00BC4179" w:rsidTr="00BC4179">
        <w:trP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rPr>
                <w:rFonts w:ascii="Times New Roman" w:hAnsi="Times New Roman"/>
                <w:sz w:val="24"/>
                <w:szCs w:val="24"/>
                <w:lang w:val="uk-UA"/>
              </w:rPr>
            </w:pPr>
            <w:r>
              <w:rPr>
                <w:rFonts w:ascii="Times New Roman" w:hAnsi="Times New Roman"/>
                <w:sz w:val="24"/>
                <w:szCs w:val="24"/>
                <w:lang w:val="uk-UA"/>
              </w:rPr>
              <w:t>Культові споруди</w:t>
            </w:r>
          </w:p>
        </w:tc>
        <w:tc>
          <w:tcPr>
            <w:tcW w:w="1642"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15</w:t>
            </w:r>
          </w:p>
        </w:tc>
        <w:tc>
          <w:tcPr>
            <w:tcW w:w="1630"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180</w:t>
            </w:r>
          </w:p>
        </w:tc>
        <w:tc>
          <w:tcPr>
            <w:tcW w:w="1338"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15</w:t>
            </w:r>
          </w:p>
        </w:tc>
        <w:tc>
          <w:tcPr>
            <w:tcW w:w="1566"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18</w:t>
            </w:r>
          </w:p>
        </w:tc>
      </w:tr>
      <w:tr w:rsidR="00BC4179" w:rsidTr="00BC4179">
        <w:trP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rPr>
                <w:rFonts w:ascii="Times New Roman" w:hAnsi="Times New Roman"/>
                <w:sz w:val="24"/>
                <w:szCs w:val="24"/>
                <w:lang w:val="uk-UA"/>
              </w:rPr>
            </w:pPr>
            <w:r>
              <w:rPr>
                <w:rFonts w:ascii="Times New Roman" w:hAnsi="Times New Roman"/>
                <w:sz w:val="24"/>
                <w:szCs w:val="24"/>
                <w:lang w:val="uk-UA"/>
              </w:rPr>
              <w:t>Універсальний видовищно-розважальний центр (амфітеатр)</w:t>
            </w:r>
          </w:p>
        </w:tc>
        <w:tc>
          <w:tcPr>
            <w:tcW w:w="1642"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150</w:t>
            </w:r>
          </w:p>
        </w:tc>
        <w:tc>
          <w:tcPr>
            <w:tcW w:w="1630"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1800</w:t>
            </w:r>
          </w:p>
        </w:tc>
        <w:tc>
          <w:tcPr>
            <w:tcW w:w="1338"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50</w:t>
            </w:r>
          </w:p>
        </w:tc>
        <w:tc>
          <w:tcPr>
            <w:tcW w:w="1566"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60</w:t>
            </w:r>
          </w:p>
        </w:tc>
      </w:tr>
      <w:tr w:rsidR="00BC4179" w:rsidTr="00BC4179">
        <w:trP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rPr>
                <w:rFonts w:ascii="Times New Roman" w:hAnsi="Times New Roman"/>
                <w:sz w:val="24"/>
                <w:szCs w:val="24"/>
                <w:lang w:val="uk-UA"/>
              </w:rPr>
            </w:pPr>
            <w:r>
              <w:rPr>
                <w:rFonts w:ascii="Times New Roman" w:hAnsi="Times New Roman"/>
                <w:sz w:val="24"/>
                <w:szCs w:val="24"/>
                <w:lang w:val="uk-UA"/>
              </w:rPr>
              <w:t>Терми</w:t>
            </w:r>
          </w:p>
        </w:tc>
        <w:tc>
          <w:tcPr>
            <w:tcW w:w="1642"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40</w:t>
            </w:r>
          </w:p>
        </w:tc>
        <w:tc>
          <w:tcPr>
            <w:tcW w:w="1630"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480</w:t>
            </w:r>
          </w:p>
        </w:tc>
        <w:tc>
          <w:tcPr>
            <w:tcW w:w="1338"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20</w:t>
            </w:r>
          </w:p>
        </w:tc>
        <w:tc>
          <w:tcPr>
            <w:tcW w:w="1566"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24</w:t>
            </w:r>
          </w:p>
        </w:tc>
      </w:tr>
      <w:tr w:rsidR="00BC4179" w:rsidTr="00BC4179">
        <w:trP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rPr>
                <w:rFonts w:ascii="Times New Roman" w:hAnsi="Times New Roman"/>
                <w:sz w:val="24"/>
                <w:szCs w:val="24"/>
                <w:lang w:val="uk-UA"/>
              </w:rPr>
            </w:pPr>
            <w:r>
              <w:rPr>
                <w:rFonts w:ascii="Times New Roman" w:hAnsi="Times New Roman"/>
                <w:sz w:val="24"/>
                <w:szCs w:val="24"/>
                <w:lang w:val="uk-UA"/>
              </w:rPr>
              <w:t>Спортивний клуб (на півдні)</w:t>
            </w:r>
          </w:p>
        </w:tc>
        <w:tc>
          <w:tcPr>
            <w:tcW w:w="1642"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50</w:t>
            </w:r>
          </w:p>
        </w:tc>
        <w:tc>
          <w:tcPr>
            <w:tcW w:w="1630"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600</w:t>
            </w:r>
          </w:p>
        </w:tc>
        <w:tc>
          <w:tcPr>
            <w:tcW w:w="1338"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30</w:t>
            </w:r>
          </w:p>
        </w:tc>
        <w:tc>
          <w:tcPr>
            <w:tcW w:w="1566"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36</w:t>
            </w:r>
          </w:p>
        </w:tc>
      </w:tr>
      <w:tr w:rsidR="00BC4179" w:rsidTr="00BC4179">
        <w:trP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rPr>
                <w:rFonts w:ascii="Times New Roman" w:hAnsi="Times New Roman"/>
                <w:sz w:val="24"/>
                <w:szCs w:val="24"/>
                <w:lang w:val="uk-UA"/>
              </w:rPr>
            </w:pPr>
            <w:r>
              <w:rPr>
                <w:rFonts w:ascii="Times New Roman" w:hAnsi="Times New Roman"/>
                <w:sz w:val="24"/>
                <w:szCs w:val="24"/>
                <w:lang w:val="uk-UA"/>
              </w:rPr>
              <w:t>Спортивний кантрі-клуб (на півночі)</w:t>
            </w:r>
          </w:p>
        </w:tc>
        <w:tc>
          <w:tcPr>
            <w:tcW w:w="1642"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50</w:t>
            </w:r>
          </w:p>
        </w:tc>
        <w:tc>
          <w:tcPr>
            <w:tcW w:w="1630"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600</w:t>
            </w:r>
          </w:p>
        </w:tc>
        <w:tc>
          <w:tcPr>
            <w:tcW w:w="1338"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30</w:t>
            </w:r>
          </w:p>
        </w:tc>
        <w:tc>
          <w:tcPr>
            <w:tcW w:w="1566"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36</w:t>
            </w:r>
          </w:p>
        </w:tc>
      </w:tr>
      <w:tr w:rsidR="00BC4179" w:rsidTr="00BC4179">
        <w:trP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rPr>
                <w:rFonts w:ascii="Times New Roman" w:hAnsi="Times New Roman"/>
                <w:sz w:val="24"/>
                <w:szCs w:val="24"/>
                <w:lang w:val="uk-UA"/>
              </w:rPr>
            </w:pPr>
            <w:r>
              <w:rPr>
                <w:rFonts w:ascii="Times New Roman" w:hAnsi="Times New Roman"/>
                <w:sz w:val="24"/>
                <w:szCs w:val="24"/>
                <w:lang w:val="uk-UA"/>
              </w:rPr>
              <w:t>Яхт-клуб</w:t>
            </w:r>
          </w:p>
        </w:tc>
        <w:tc>
          <w:tcPr>
            <w:tcW w:w="1642"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50</w:t>
            </w:r>
          </w:p>
        </w:tc>
        <w:tc>
          <w:tcPr>
            <w:tcW w:w="1630"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600</w:t>
            </w:r>
          </w:p>
        </w:tc>
        <w:tc>
          <w:tcPr>
            <w:tcW w:w="1338"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30</w:t>
            </w:r>
          </w:p>
        </w:tc>
        <w:tc>
          <w:tcPr>
            <w:tcW w:w="1566"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36</w:t>
            </w:r>
          </w:p>
        </w:tc>
      </w:tr>
      <w:tr w:rsidR="00BC4179" w:rsidTr="00BC4179">
        <w:trP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rPr>
                <w:rFonts w:ascii="Times New Roman" w:hAnsi="Times New Roman"/>
                <w:sz w:val="24"/>
                <w:szCs w:val="24"/>
                <w:lang w:val="uk-UA"/>
              </w:rPr>
            </w:pPr>
            <w:r>
              <w:rPr>
                <w:rFonts w:ascii="Times New Roman" w:hAnsi="Times New Roman"/>
                <w:sz w:val="24"/>
                <w:szCs w:val="24"/>
                <w:lang w:val="uk-UA"/>
              </w:rPr>
              <w:t>4 торгових комплекси</w:t>
            </w:r>
          </w:p>
        </w:tc>
        <w:tc>
          <w:tcPr>
            <w:tcW w:w="1642"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4×30</w:t>
            </w:r>
          </w:p>
        </w:tc>
        <w:tc>
          <w:tcPr>
            <w:tcW w:w="1630"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4×360=1440</w:t>
            </w:r>
          </w:p>
        </w:tc>
        <w:tc>
          <w:tcPr>
            <w:tcW w:w="1338"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4×15</w:t>
            </w:r>
          </w:p>
        </w:tc>
        <w:tc>
          <w:tcPr>
            <w:tcW w:w="1566"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4×18=72</w:t>
            </w:r>
          </w:p>
        </w:tc>
      </w:tr>
      <w:tr w:rsidR="00BC4179" w:rsidTr="00BC4179">
        <w:trP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rPr>
                <w:rFonts w:ascii="Times New Roman" w:hAnsi="Times New Roman"/>
                <w:sz w:val="24"/>
                <w:szCs w:val="24"/>
                <w:lang w:val="uk-UA"/>
              </w:rPr>
            </w:pPr>
            <w:r>
              <w:rPr>
                <w:rFonts w:ascii="Times New Roman" w:hAnsi="Times New Roman"/>
                <w:sz w:val="24"/>
                <w:szCs w:val="24"/>
                <w:lang w:val="uk-UA"/>
              </w:rPr>
              <w:t>Медичний коледж на 500 учнів</w:t>
            </w:r>
          </w:p>
        </w:tc>
        <w:tc>
          <w:tcPr>
            <w:tcW w:w="1642"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30</w:t>
            </w:r>
          </w:p>
        </w:tc>
        <w:tc>
          <w:tcPr>
            <w:tcW w:w="1630"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360</w:t>
            </w:r>
          </w:p>
        </w:tc>
        <w:tc>
          <w:tcPr>
            <w:tcW w:w="1338"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25</w:t>
            </w:r>
          </w:p>
        </w:tc>
        <w:tc>
          <w:tcPr>
            <w:tcW w:w="1566"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30</w:t>
            </w:r>
          </w:p>
        </w:tc>
      </w:tr>
      <w:tr w:rsidR="00BC4179" w:rsidTr="00BC4179">
        <w:trP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rPr>
                <w:rFonts w:ascii="Times New Roman" w:hAnsi="Times New Roman"/>
                <w:sz w:val="24"/>
                <w:szCs w:val="24"/>
                <w:lang w:val="uk-UA"/>
              </w:rPr>
            </w:pPr>
            <w:r>
              <w:rPr>
                <w:rFonts w:ascii="Times New Roman" w:hAnsi="Times New Roman"/>
                <w:sz w:val="24"/>
                <w:szCs w:val="24"/>
                <w:lang w:val="uk-UA"/>
              </w:rPr>
              <w:t>2 Етно-комплекси по 550 місць (зона №1)</w:t>
            </w:r>
          </w:p>
        </w:tc>
        <w:tc>
          <w:tcPr>
            <w:tcW w:w="1642"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2×100</w:t>
            </w:r>
          </w:p>
        </w:tc>
        <w:tc>
          <w:tcPr>
            <w:tcW w:w="1630"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2×1200=2400</w:t>
            </w:r>
          </w:p>
        </w:tc>
        <w:tc>
          <w:tcPr>
            <w:tcW w:w="1338"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2×60</w:t>
            </w:r>
          </w:p>
        </w:tc>
        <w:tc>
          <w:tcPr>
            <w:tcW w:w="1566"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2×72=144</w:t>
            </w:r>
          </w:p>
        </w:tc>
      </w:tr>
      <w:tr w:rsidR="00BC4179" w:rsidTr="00BC4179">
        <w:trP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rPr>
                <w:rFonts w:ascii="Times New Roman" w:hAnsi="Times New Roman"/>
                <w:sz w:val="24"/>
                <w:szCs w:val="24"/>
                <w:lang w:val="uk-UA"/>
              </w:rPr>
            </w:pPr>
            <w:r>
              <w:rPr>
                <w:rFonts w:ascii="Times New Roman" w:hAnsi="Times New Roman"/>
                <w:sz w:val="24"/>
                <w:szCs w:val="24"/>
                <w:lang w:val="uk-UA"/>
              </w:rPr>
              <w:t>2 Етно-комплекси по 200 місць (зона №2)</w:t>
            </w:r>
          </w:p>
        </w:tc>
        <w:tc>
          <w:tcPr>
            <w:tcW w:w="1642"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2×100</w:t>
            </w:r>
          </w:p>
        </w:tc>
        <w:tc>
          <w:tcPr>
            <w:tcW w:w="1630"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2×1200=2400</w:t>
            </w:r>
          </w:p>
        </w:tc>
        <w:tc>
          <w:tcPr>
            <w:tcW w:w="1338"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2×60</w:t>
            </w:r>
          </w:p>
        </w:tc>
        <w:tc>
          <w:tcPr>
            <w:tcW w:w="1566"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2×72=144</w:t>
            </w:r>
          </w:p>
        </w:tc>
      </w:tr>
      <w:tr w:rsidR="00BC4179" w:rsidTr="00BC4179">
        <w:trP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rPr>
                <w:rFonts w:ascii="Times New Roman" w:hAnsi="Times New Roman"/>
                <w:sz w:val="24"/>
                <w:szCs w:val="24"/>
                <w:lang w:val="uk-UA"/>
              </w:rPr>
            </w:pPr>
            <w:r>
              <w:rPr>
                <w:rFonts w:ascii="Times New Roman" w:hAnsi="Times New Roman"/>
                <w:sz w:val="24"/>
                <w:szCs w:val="24"/>
                <w:lang w:val="uk-UA"/>
              </w:rPr>
              <w:t>Диско-клуби (3 клуби по 200 місць)</w:t>
            </w:r>
          </w:p>
        </w:tc>
        <w:tc>
          <w:tcPr>
            <w:tcW w:w="1642"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3×30</w:t>
            </w:r>
          </w:p>
        </w:tc>
        <w:tc>
          <w:tcPr>
            <w:tcW w:w="1630"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3×360=1080</w:t>
            </w:r>
          </w:p>
        </w:tc>
        <w:tc>
          <w:tcPr>
            <w:tcW w:w="1338"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3×15</w:t>
            </w:r>
          </w:p>
        </w:tc>
        <w:tc>
          <w:tcPr>
            <w:tcW w:w="1566"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3×18=54</w:t>
            </w:r>
          </w:p>
        </w:tc>
      </w:tr>
      <w:tr w:rsidR="00BC4179" w:rsidTr="00BC4179">
        <w:trPr>
          <w:trHeight w:val="392"/>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rPr>
                <w:rFonts w:ascii="Times New Roman" w:hAnsi="Times New Roman"/>
                <w:sz w:val="24"/>
                <w:szCs w:val="24"/>
                <w:lang w:val="uk-UA"/>
              </w:rPr>
            </w:pPr>
            <w:r>
              <w:rPr>
                <w:rFonts w:ascii="Times New Roman" w:hAnsi="Times New Roman"/>
                <w:sz w:val="24"/>
                <w:szCs w:val="24"/>
                <w:lang w:val="uk-UA"/>
              </w:rPr>
              <w:t>Комунальна зона</w:t>
            </w:r>
          </w:p>
        </w:tc>
        <w:tc>
          <w:tcPr>
            <w:tcW w:w="1642"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50</w:t>
            </w:r>
          </w:p>
        </w:tc>
        <w:tc>
          <w:tcPr>
            <w:tcW w:w="1630"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600</w:t>
            </w:r>
          </w:p>
        </w:tc>
        <w:tc>
          <w:tcPr>
            <w:tcW w:w="1338"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30</w:t>
            </w:r>
          </w:p>
        </w:tc>
        <w:tc>
          <w:tcPr>
            <w:tcW w:w="1566"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36</w:t>
            </w:r>
          </w:p>
        </w:tc>
      </w:tr>
      <w:tr w:rsidR="00BC4179" w:rsidTr="00BC4179">
        <w:trPr>
          <w:trHeight w:val="210"/>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rPr>
                <w:rFonts w:ascii="Times New Roman" w:hAnsi="Times New Roman"/>
                <w:i/>
                <w:sz w:val="24"/>
                <w:szCs w:val="24"/>
                <w:lang w:val="uk-UA"/>
              </w:rPr>
            </w:pPr>
            <w:r>
              <w:rPr>
                <w:rFonts w:ascii="Times New Roman" w:hAnsi="Times New Roman"/>
                <w:i/>
                <w:sz w:val="24"/>
                <w:szCs w:val="24"/>
                <w:lang w:val="uk-UA"/>
              </w:rPr>
              <w:t>Разом по оздоровчо-рекреаційній зоні</w:t>
            </w:r>
          </w:p>
        </w:tc>
        <w:tc>
          <w:tcPr>
            <w:tcW w:w="1642"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i/>
                <w:sz w:val="24"/>
                <w:szCs w:val="24"/>
                <w:lang w:val="uk-UA"/>
              </w:rPr>
            </w:pPr>
            <w:r>
              <w:rPr>
                <w:rFonts w:ascii="Times New Roman" w:hAnsi="Times New Roman"/>
                <w:i/>
                <w:sz w:val="24"/>
                <w:szCs w:val="24"/>
                <w:lang w:val="uk-UA"/>
              </w:rPr>
              <w:t>1055</w:t>
            </w:r>
          </w:p>
        </w:tc>
        <w:tc>
          <w:tcPr>
            <w:tcW w:w="1630"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i/>
                <w:sz w:val="24"/>
                <w:szCs w:val="24"/>
                <w:lang w:val="uk-UA"/>
              </w:rPr>
            </w:pPr>
            <w:r>
              <w:rPr>
                <w:rFonts w:ascii="Times New Roman" w:hAnsi="Times New Roman"/>
                <w:i/>
                <w:sz w:val="24"/>
                <w:szCs w:val="24"/>
                <w:lang w:val="uk-UA"/>
              </w:rPr>
              <w:t>12660</w:t>
            </w:r>
          </w:p>
        </w:tc>
        <w:tc>
          <w:tcPr>
            <w:tcW w:w="1338"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i/>
                <w:sz w:val="24"/>
                <w:szCs w:val="24"/>
                <w:lang w:val="uk-UA"/>
              </w:rPr>
            </w:pPr>
            <w:r>
              <w:rPr>
                <w:rFonts w:ascii="Times New Roman" w:hAnsi="Times New Roman"/>
                <w:i/>
                <w:sz w:val="24"/>
                <w:szCs w:val="24"/>
                <w:lang w:val="uk-UA"/>
              </w:rPr>
              <w:t>470</w:t>
            </w:r>
          </w:p>
        </w:tc>
        <w:tc>
          <w:tcPr>
            <w:tcW w:w="1566"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i/>
                <w:sz w:val="24"/>
                <w:szCs w:val="24"/>
                <w:lang w:val="uk-UA"/>
              </w:rPr>
            </w:pPr>
            <w:r>
              <w:rPr>
                <w:rFonts w:ascii="Times New Roman" w:hAnsi="Times New Roman"/>
                <w:i/>
                <w:sz w:val="24"/>
                <w:szCs w:val="24"/>
                <w:lang w:val="uk-UA"/>
              </w:rPr>
              <w:t>564</w:t>
            </w:r>
          </w:p>
        </w:tc>
      </w:tr>
      <w:tr w:rsidR="00BC4179" w:rsidTr="00BC4179">
        <w:trPr>
          <w:trHeight w:val="330"/>
          <w:jc w:val="center"/>
        </w:trPr>
        <w:tc>
          <w:tcPr>
            <w:tcW w:w="9523" w:type="dxa"/>
            <w:gridSpan w:val="5"/>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b/>
                <w:sz w:val="24"/>
                <w:szCs w:val="24"/>
                <w:lang w:val="uk-UA"/>
              </w:rPr>
            </w:pPr>
            <w:r>
              <w:rPr>
                <w:rFonts w:ascii="Times New Roman" w:hAnsi="Times New Roman"/>
                <w:b/>
                <w:sz w:val="24"/>
                <w:szCs w:val="24"/>
                <w:lang w:val="uk-UA"/>
              </w:rPr>
              <w:t>ІІІ. Парково-громадська зона</w:t>
            </w:r>
          </w:p>
        </w:tc>
      </w:tr>
      <w:tr w:rsidR="00BC4179" w:rsidTr="00BC4179">
        <w:trPr>
          <w:trHeight w:val="510"/>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rPr>
                <w:rFonts w:ascii="Times New Roman" w:hAnsi="Times New Roman"/>
                <w:sz w:val="24"/>
                <w:szCs w:val="24"/>
                <w:lang w:val="uk-UA"/>
              </w:rPr>
            </w:pPr>
            <w:r>
              <w:rPr>
                <w:rFonts w:ascii="Times New Roman" w:hAnsi="Times New Roman"/>
                <w:sz w:val="24"/>
                <w:szCs w:val="24"/>
                <w:lang w:val="uk-UA"/>
              </w:rPr>
              <w:t>Універсальний розважальний центр</w:t>
            </w:r>
          </w:p>
        </w:tc>
        <w:tc>
          <w:tcPr>
            <w:tcW w:w="1642"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50</w:t>
            </w:r>
          </w:p>
        </w:tc>
        <w:tc>
          <w:tcPr>
            <w:tcW w:w="1630"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600</w:t>
            </w:r>
          </w:p>
        </w:tc>
        <w:tc>
          <w:tcPr>
            <w:tcW w:w="1338"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60</w:t>
            </w:r>
          </w:p>
        </w:tc>
        <w:tc>
          <w:tcPr>
            <w:tcW w:w="1566"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72</w:t>
            </w:r>
          </w:p>
        </w:tc>
      </w:tr>
      <w:tr w:rsidR="00BC4179" w:rsidTr="00BC4179">
        <w:trPr>
          <w:trHeight w:val="285"/>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rPr>
                <w:rFonts w:ascii="Times New Roman" w:hAnsi="Times New Roman"/>
                <w:sz w:val="24"/>
                <w:szCs w:val="24"/>
                <w:lang w:val="uk-UA"/>
              </w:rPr>
            </w:pPr>
            <w:r>
              <w:rPr>
                <w:rFonts w:ascii="Times New Roman" w:hAnsi="Times New Roman"/>
                <w:sz w:val="24"/>
                <w:szCs w:val="24"/>
                <w:lang w:val="uk-UA"/>
              </w:rPr>
              <w:t>Спортивний центр</w:t>
            </w:r>
          </w:p>
        </w:tc>
        <w:tc>
          <w:tcPr>
            <w:tcW w:w="1642"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50</w:t>
            </w:r>
          </w:p>
        </w:tc>
        <w:tc>
          <w:tcPr>
            <w:tcW w:w="1630"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600</w:t>
            </w:r>
          </w:p>
        </w:tc>
        <w:tc>
          <w:tcPr>
            <w:tcW w:w="1338"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60</w:t>
            </w:r>
          </w:p>
        </w:tc>
        <w:tc>
          <w:tcPr>
            <w:tcW w:w="1566"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72</w:t>
            </w:r>
          </w:p>
        </w:tc>
      </w:tr>
      <w:tr w:rsidR="00BC4179" w:rsidTr="00BC4179">
        <w:trPr>
          <w:trHeight w:val="300"/>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rPr>
                <w:rFonts w:ascii="Times New Roman" w:hAnsi="Times New Roman"/>
                <w:sz w:val="24"/>
                <w:szCs w:val="24"/>
                <w:lang w:val="uk-UA"/>
              </w:rPr>
            </w:pPr>
            <w:r>
              <w:rPr>
                <w:rFonts w:ascii="Times New Roman" w:hAnsi="Times New Roman"/>
                <w:sz w:val="24"/>
                <w:szCs w:val="24"/>
                <w:lang w:val="uk-UA"/>
              </w:rPr>
              <w:t>Торговий комплекс</w:t>
            </w:r>
          </w:p>
        </w:tc>
        <w:tc>
          <w:tcPr>
            <w:tcW w:w="1642"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100</w:t>
            </w:r>
          </w:p>
        </w:tc>
        <w:tc>
          <w:tcPr>
            <w:tcW w:w="1630"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1200</w:t>
            </w:r>
          </w:p>
        </w:tc>
        <w:tc>
          <w:tcPr>
            <w:tcW w:w="1338"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120</w:t>
            </w:r>
          </w:p>
        </w:tc>
        <w:tc>
          <w:tcPr>
            <w:tcW w:w="1566"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144</w:t>
            </w:r>
          </w:p>
        </w:tc>
      </w:tr>
      <w:tr w:rsidR="00BC4179" w:rsidTr="00BC4179">
        <w:trPr>
          <w:trHeight w:val="315"/>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rPr>
                <w:rFonts w:ascii="Times New Roman" w:hAnsi="Times New Roman"/>
                <w:sz w:val="24"/>
                <w:szCs w:val="24"/>
                <w:lang w:val="uk-UA"/>
              </w:rPr>
            </w:pPr>
            <w:r>
              <w:rPr>
                <w:rFonts w:ascii="Times New Roman" w:hAnsi="Times New Roman"/>
                <w:sz w:val="24"/>
                <w:szCs w:val="24"/>
                <w:lang w:val="uk-UA"/>
              </w:rPr>
              <w:t>«Діснейленд»</w:t>
            </w:r>
          </w:p>
        </w:tc>
        <w:tc>
          <w:tcPr>
            <w:tcW w:w="1642"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80</w:t>
            </w:r>
          </w:p>
        </w:tc>
        <w:tc>
          <w:tcPr>
            <w:tcW w:w="1630"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960</w:t>
            </w:r>
          </w:p>
        </w:tc>
        <w:tc>
          <w:tcPr>
            <w:tcW w:w="1338"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100</w:t>
            </w:r>
          </w:p>
        </w:tc>
        <w:tc>
          <w:tcPr>
            <w:tcW w:w="1566"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120</w:t>
            </w:r>
          </w:p>
        </w:tc>
      </w:tr>
      <w:tr w:rsidR="00BC4179" w:rsidTr="00BC4179">
        <w:trPr>
          <w:trHeight w:val="330"/>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rPr>
                <w:rFonts w:ascii="Times New Roman" w:hAnsi="Times New Roman"/>
                <w:sz w:val="24"/>
                <w:szCs w:val="24"/>
                <w:lang w:val="uk-UA"/>
              </w:rPr>
            </w:pPr>
            <w:r>
              <w:rPr>
                <w:rFonts w:ascii="Times New Roman" w:hAnsi="Times New Roman"/>
                <w:sz w:val="24"/>
                <w:szCs w:val="24"/>
                <w:lang w:val="uk-UA"/>
              </w:rPr>
              <w:t>Аквапарк</w:t>
            </w:r>
          </w:p>
        </w:tc>
        <w:tc>
          <w:tcPr>
            <w:tcW w:w="1642"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80</w:t>
            </w:r>
          </w:p>
        </w:tc>
        <w:tc>
          <w:tcPr>
            <w:tcW w:w="1630"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960</w:t>
            </w:r>
          </w:p>
        </w:tc>
        <w:tc>
          <w:tcPr>
            <w:tcW w:w="1338"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100</w:t>
            </w:r>
          </w:p>
        </w:tc>
        <w:tc>
          <w:tcPr>
            <w:tcW w:w="1566"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120</w:t>
            </w:r>
          </w:p>
        </w:tc>
      </w:tr>
      <w:tr w:rsidR="00BC4179" w:rsidTr="00BC4179">
        <w:trPr>
          <w:trHeight w:val="180"/>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rPr>
                <w:rFonts w:ascii="Times New Roman" w:hAnsi="Times New Roman"/>
                <w:i/>
                <w:sz w:val="24"/>
                <w:szCs w:val="24"/>
                <w:lang w:val="uk-UA"/>
              </w:rPr>
            </w:pPr>
            <w:r>
              <w:rPr>
                <w:rFonts w:ascii="Times New Roman" w:hAnsi="Times New Roman"/>
                <w:i/>
                <w:sz w:val="24"/>
                <w:szCs w:val="24"/>
                <w:lang w:val="uk-UA"/>
              </w:rPr>
              <w:t>Разом по парково-громадській зоні</w:t>
            </w:r>
          </w:p>
        </w:tc>
        <w:tc>
          <w:tcPr>
            <w:tcW w:w="1642"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i/>
                <w:sz w:val="24"/>
                <w:szCs w:val="24"/>
                <w:lang w:val="uk-UA"/>
              </w:rPr>
            </w:pPr>
            <w:r>
              <w:rPr>
                <w:rFonts w:ascii="Times New Roman" w:hAnsi="Times New Roman"/>
                <w:i/>
                <w:sz w:val="24"/>
                <w:szCs w:val="24"/>
                <w:lang w:val="uk-UA"/>
              </w:rPr>
              <w:t>360</w:t>
            </w:r>
          </w:p>
        </w:tc>
        <w:tc>
          <w:tcPr>
            <w:tcW w:w="1630"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i/>
                <w:sz w:val="24"/>
                <w:szCs w:val="24"/>
                <w:lang w:val="uk-UA"/>
              </w:rPr>
            </w:pPr>
            <w:r>
              <w:rPr>
                <w:rFonts w:ascii="Times New Roman" w:hAnsi="Times New Roman"/>
                <w:i/>
                <w:sz w:val="24"/>
                <w:szCs w:val="24"/>
                <w:lang w:val="uk-UA"/>
              </w:rPr>
              <w:t>4320</w:t>
            </w:r>
          </w:p>
        </w:tc>
        <w:tc>
          <w:tcPr>
            <w:tcW w:w="1338"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i/>
                <w:sz w:val="24"/>
                <w:szCs w:val="24"/>
                <w:lang w:val="uk-UA"/>
              </w:rPr>
            </w:pPr>
            <w:r>
              <w:rPr>
                <w:rFonts w:ascii="Times New Roman" w:hAnsi="Times New Roman"/>
                <w:i/>
                <w:sz w:val="24"/>
                <w:szCs w:val="24"/>
                <w:lang w:val="uk-UA"/>
              </w:rPr>
              <w:t>440</w:t>
            </w:r>
          </w:p>
        </w:tc>
        <w:tc>
          <w:tcPr>
            <w:tcW w:w="1566"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i/>
                <w:sz w:val="24"/>
                <w:szCs w:val="24"/>
                <w:lang w:val="uk-UA"/>
              </w:rPr>
            </w:pPr>
            <w:r>
              <w:rPr>
                <w:rFonts w:ascii="Times New Roman" w:hAnsi="Times New Roman"/>
                <w:i/>
                <w:sz w:val="24"/>
                <w:szCs w:val="24"/>
                <w:lang w:val="uk-UA"/>
              </w:rPr>
              <w:t>528</w:t>
            </w:r>
          </w:p>
        </w:tc>
      </w:tr>
      <w:tr w:rsidR="00BC4179" w:rsidTr="00BC4179">
        <w:trPr>
          <w:trHeight w:val="435"/>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rPr>
                <w:rFonts w:ascii="Times New Roman" w:hAnsi="Times New Roman"/>
                <w:b/>
                <w:sz w:val="24"/>
                <w:szCs w:val="24"/>
                <w:lang w:val="uk-UA"/>
              </w:rPr>
            </w:pPr>
            <w:r>
              <w:rPr>
                <w:rFonts w:ascii="Times New Roman" w:hAnsi="Times New Roman"/>
                <w:b/>
                <w:sz w:val="24"/>
                <w:szCs w:val="24"/>
                <w:lang w:val="uk-UA"/>
              </w:rPr>
              <w:t>Всього по «IntermedicalEcoCity»</w:t>
            </w:r>
          </w:p>
        </w:tc>
        <w:tc>
          <w:tcPr>
            <w:tcW w:w="1642"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b/>
                <w:sz w:val="24"/>
                <w:szCs w:val="24"/>
                <w:lang w:val="uk-UA"/>
              </w:rPr>
            </w:pPr>
            <w:r>
              <w:rPr>
                <w:rFonts w:ascii="Times New Roman" w:hAnsi="Times New Roman"/>
                <w:b/>
                <w:sz w:val="24"/>
                <w:szCs w:val="24"/>
                <w:lang w:val="uk-UA"/>
              </w:rPr>
              <w:t>1415</w:t>
            </w:r>
          </w:p>
        </w:tc>
        <w:tc>
          <w:tcPr>
            <w:tcW w:w="1630"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b/>
                <w:sz w:val="24"/>
                <w:szCs w:val="24"/>
                <w:lang w:val="uk-UA"/>
              </w:rPr>
            </w:pPr>
            <w:r>
              <w:rPr>
                <w:rFonts w:ascii="Times New Roman" w:hAnsi="Times New Roman"/>
                <w:b/>
                <w:sz w:val="24"/>
                <w:szCs w:val="24"/>
                <w:lang w:val="uk-UA"/>
              </w:rPr>
              <w:t>16980</w:t>
            </w:r>
          </w:p>
        </w:tc>
        <w:tc>
          <w:tcPr>
            <w:tcW w:w="1338"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b/>
                <w:sz w:val="24"/>
                <w:szCs w:val="24"/>
                <w:lang w:val="uk-UA"/>
              </w:rPr>
            </w:pPr>
            <w:r>
              <w:rPr>
                <w:rFonts w:ascii="Times New Roman" w:hAnsi="Times New Roman"/>
                <w:b/>
                <w:sz w:val="24"/>
                <w:szCs w:val="24"/>
                <w:lang w:val="uk-UA"/>
              </w:rPr>
              <w:t>910</w:t>
            </w:r>
          </w:p>
        </w:tc>
        <w:tc>
          <w:tcPr>
            <w:tcW w:w="1566" w:type="dxa"/>
            <w:tcBorders>
              <w:top w:val="single" w:sz="4" w:space="0" w:color="auto"/>
              <w:left w:val="single" w:sz="4" w:space="0" w:color="auto"/>
              <w:bottom w:val="single" w:sz="4" w:space="0" w:color="auto"/>
              <w:right w:val="single" w:sz="4" w:space="0" w:color="auto"/>
            </w:tcBorders>
            <w:vAlign w:val="center"/>
            <w:hideMark/>
          </w:tcPr>
          <w:p w:rsidR="00BC4179" w:rsidRDefault="00BC4179">
            <w:pPr>
              <w:spacing w:before="20" w:after="20" w:line="240" w:lineRule="auto"/>
              <w:jc w:val="center"/>
              <w:rPr>
                <w:rFonts w:ascii="Times New Roman" w:hAnsi="Times New Roman"/>
                <w:b/>
                <w:sz w:val="24"/>
                <w:szCs w:val="24"/>
                <w:lang w:val="uk-UA"/>
              </w:rPr>
            </w:pPr>
            <w:r>
              <w:rPr>
                <w:rFonts w:ascii="Times New Roman" w:hAnsi="Times New Roman"/>
                <w:b/>
                <w:sz w:val="24"/>
                <w:szCs w:val="24"/>
                <w:lang w:val="uk-UA"/>
              </w:rPr>
              <w:t>1092</w:t>
            </w:r>
          </w:p>
        </w:tc>
      </w:tr>
    </w:tbl>
    <w:p w:rsidR="00000000" w:rsidRDefault="00BC4179"/>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21FB7"/>
    <w:multiLevelType w:val="hybridMultilevel"/>
    <w:tmpl w:val="3486510C"/>
    <w:lvl w:ilvl="0" w:tplc="D9C87348">
      <w:numFmt w:val="bullet"/>
      <w:lvlText w:val="-"/>
      <w:lvlJc w:val="left"/>
      <w:pPr>
        <w:tabs>
          <w:tab w:val="num" w:pos="360"/>
        </w:tabs>
        <w:ind w:left="360" w:hanging="360"/>
      </w:pPr>
      <w:rPr>
        <w:rFonts w:ascii="Arial" w:eastAsia="Times New Roman" w:hAnsi="Arial" w:cs="Aria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6C054022"/>
    <w:multiLevelType w:val="hybridMultilevel"/>
    <w:tmpl w:val="25A0D3DC"/>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useFELayout/>
  </w:compat>
  <w:rsids>
    <w:rsidRoot w:val="00BC4179"/>
    <w:rsid w:val="00BC41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4179"/>
    <w:pPr>
      <w:ind w:left="720"/>
      <w:contextualSpacing/>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170663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1280</Words>
  <Characters>7302</Characters>
  <Application>Microsoft Office Word</Application>
  <DocSecurity>0</DocSecurity>
  <Lines>60</Lines>
  <Paragraphs>17</Paragraphs>
  <ScaleCrop>false</ScaleCrop>
  <Company/>
  <LinksUpToDate>false</LinksUpToDate>
  <CharactersWithSpaces>8565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2013-08-08T10:45:00Z</dcterms:created>
  <dcterms:modified xsi:type="dcterms:W3CDTF">2013-08-08T10:45:00Z</dcterms:modified>
</cp:coreProperties>
</file>