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68" w:rsidRDefault="005C3F68" w:rsidP="005C3F68">
      <w:pPr>
        <w:spacing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3.2.4.</w:t>
      </w:r>
      <w:r>
        <w:rPr>
          <w:rFonts w:ascii="Times New Roman" w:hAnsi="Times New Roman"/>
          <w:b/>
          <w:sz w:val="26"/>
          <w:szCs w:val="26"/>
          <w:lang w:val="uk-UA"/>
        </w:rPr>
        <w:tab/>
        <w:t>Визначення наявності існуючих та планування розвитку перспективних комунікацій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  <w:lang w:val="uk-UA"/>
        </w:rPr>
      </w:pP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3.2.4.1. Транспорт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Зовнішній транспорт</w:t>
      </w: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u w:val="single"/>
          <w:lang w:val="uk-UA"/>
        </w:rPr>
        <w:t>Автомобільні дороги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буде виконуватись по існуючим автомобільним дорогам державного значення: </w:t>
      </w:r>
    </w:p>
    <w:p w:rsidR="005C3F68" w:rsidRDefault="005C3F68" w:rsidP="005C3F68">
      <w:pPr>
        <w:pStyle w:val="a5"/>
        <w:numPr>
          <w:ilvl w:val="0"/>
          <w:numId w:val="1"/>
        </w:numPr>
        <w:tabs>
          <w:tab w:val="num" w:pos="-6946"/>
        </w:tabs>
        <w:spacing w:after="0" w:line="360" w:lineRule="auto"/>
        <w:ind w:left="142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Міжнародній М–18 сполученням Харків – Сімферополь – Алушта – Ялта. Траса автомобільної дороги співпадає з трасою міжнародної європейської магістралі Е105 Москва-Орел-Харків-Сімферополь-Алушта-Ялта. Проїзна частина дороги відповідає параметрам ІІ технічної категорії. Автомобільна дорога зв’яже Російську Федерацію та східні області України з територією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»;</w:t>
      </w:r>
    </w:p>
    <w:p w:rsidR="005C3F68" w:rsidRDefault="005C3F68" w:rsidP="005C3F68">
      <w:pPr>
        <w:pStyle w:val="a5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Регіональній Р–47 сполученням Херсон – Нова Каховка – Генічеськ. Автомобільна дорога співпадає з трасою міжнародного транспортного коридору, що передбачений до реконструкції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Євроазіатський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Одеса – Миколаїв – Херсон – Джанкой – Керч. Автомобільна дорога зв’яже територію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з центральними та західними областями України. 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Безпосередньо через територію Арабатської стрілки проходить автомобільна дорога місцевого значення О220706 Генічеськ –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. Дорога має IV технічну категорію.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при будівництві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передбачений ряд заходів з розвитку автомобільних доріг:</w:t>
      </w:r>
    </w:p>
    <w:p w:rsidR="005C3F68" w:rsidRDefault="005C3F68" w:rsidP="005C3F68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будівництво територіальної дороги державного значення, яка пройде від м. Генічеськ вздовж всієї Арабатської стрілки з подальшим будівництво автомобільного мосту через затоку Сиваш в районі с.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виходом на автомобільну дорогу державного значення М-18. Автомобільна дорога запроектована за параметрами ІІ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пройде поза територіями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», селищами Генічеська Гірка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. Будівництво автомобільного мосту через затоку Сиваш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дозволить значно зменшити час проїзду від міжнародного аеропорту «Сімферополь» до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5C3F68" w:rsidRDefault="005C3F68" w:rsidP="005C3F68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реконструкція автомобільних доріг державного значення М-18 Харків – Сімферополь – Алушта – Ялта та Р–47 Херсон – Нова Каховка – Генічеськ за параметрами 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>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Існуюча автомобільна дорога місцевого значення О220706 Генічеськ –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буде виконувати функції внутрішньо курортної та передбачено майже повністю вивільнити її від зовнішнього транспорту (окрім транспорту екстрених служб). 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u w:val="single"/>
          <w:lang w:val="uk-UA"/>
        </w:rPr>
        <w:t>Залізничний транспорт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залізничним транспортом передбачено залізничною станцією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Новоолексіївка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, яка розташована на двоколійній електрифікованій залізничний лінії Мелітополь – Джанкой.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Крім того, відповідно до Концепції створення та функціонування національної мережі транспортних коридорів в Україна залізнична лінія Мелітополь – Джанкой є ділянкою залізничного транспортного коридору ЧЕС з відгалуженням – Рені – Ізмаїл – Одеса –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Колосівка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– Помічна – Знам’янка – Дніпропетровськ –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Ясинувата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Квашине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, Харків – Синельникове – Джанкой – Сімферополь – Севастополь,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Колосівка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– Миколаїв – Херсон – Чаплине – Бердянськ. В зв’язку з цим передбачена модернізація залізничної лінії та будівництво третьої колії на ділянці Мелітополь – Джанкой – Сімферополь. Зазначені заходи сприятимуть збільшенню кількість відпочивальників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», які приїжджатимуть з південних областей України.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більш далеку перспективу (після початку функціонування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») для підвезення відпочивальників до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передбачено організувати наземну лінію легких та безшумних електропоїздів типу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», яка пройде від залізничної станції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Новоолексіївка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до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». На лінії передбачено організувати зупинки: в районі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ст.Новолексіївка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, аеропорт «Генічеськ», біля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на в’їзді до Арабатської стрілка та кінцева зупинка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». Проходження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Радану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по території Арабатської стрілки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передбачено вздовж проектної територіальної автомобільної дороги державного значення.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u w:val="single"/>
          <w:lang w:val="uk-UA"/>
        </w:rPr>
        <w:t>Повітряний транспорт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Повітряні зв’язки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будуть виконуватись міжнародним аеропортом «Сімферополь», новим аеропортом місцевого значення «Генічеськ» та гелікоптерами. 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Прийом відпочивальників з різних міст світу передбачено міжнародним аеропортом «Сімферополь». Доставка відпочивальників до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буде відбуватися автомобільним транспортом (по автомобільній дорозі М-18 та новому мосту через затоку Сиваш) та гелікоптерами. 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на більш далеку перспективу (після початку функціонування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») прийом відпочивальників з України передбачено аеропортом місцевого значення «Генічеськ», який передбачено збудувати в північній частині зони впливу м. Генічеськ на території колишнього аеродрому. Доставка відпочивальників до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буде здійснюватись гелікоптерами (безпосередньо з аеропорту «Генічеськ») та електропоїздами лінії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Також для вирішення питання повітряного сполучення між територією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Eco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та основними населеними пунктами області та аеропортами, передбачено розміщення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гелікоптерних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майданчиків, які забезпечать налагоджену роботу аварійно-рятувальних, медичних, санітарних служб та надання сервісного обслуговування відпочивальникам.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u w:val="single"/>
          <w:lang w:val="uk-UA"/>
        </w:rPr>
        <w:t>Морський транспорт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По морському транспорту передбачено будівництво нового причалу для прийому суден безпосередньо на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». 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передбачено організацію зв’язків нового причалу з морськими портами Запорізької та Донецької області, а також з портами АР Крим, для перевезення відпочивальників.</w:t>
      </w: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5C3F68" w:rsidRDefault="005C3F68" w:rsidP="005C3F68">
      <w:pPr>
        <w:keepNext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Внутрішній транспорт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» планується майже повністю вивільнити від транспорту (залишити лише транспорт екстрених служб: міліція,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швидка допомога, пожежна), який погіршує екологічний стан. Обслуговування відпочивальників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електротранспортом та велосипедами.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Для забезпечення необхідного рівня безпеки руху електротранспорту,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«Зебра».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Кількість місць зберігання автотранспорту визначається виходячи з специфіки зони (що проектується), кількості відпочивальників, наявності обслуговуючого персоналу та очікуваного рівня автомобілізації.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Для постійного зберігання індивідуальних легкових автомобілів відпочивальників та обслуговуючого персоналу (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територія оздоровчо-рекреаційної та оздоровчої зони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) передбачено будівництво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(багатоповерхового гаражу) на в’їзді – виїзді з Арабатської стрілки загальною кількістю 2200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(в максимально літній сезон). Поруч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перехоплюючою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автостоянкою передбачено будівництво зупинки електропоїзда лінії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», для зручної пересадки з одного виду транспорту на інший.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відпочивальників всередині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Передбачено організацію стоянок для тимчасового зберігання електротранспорту (електрокарів)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біля громадських будинків та споруд масового відвідування. Нижче в таблиці 3.3 наведений розрахунок кількості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Таблиця 3.3 – Розрахунок кількості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</w:t>
      </w: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7"/>
        <w:gridCol w:w="1642"/>
        <w:gridCol w:w="1630"/>
        <w:gridCol w:w="1338"/>
        <w:gridCol w:w="1566"/>
      </w:tblGrid>
      <w:tr w:rsidR="005C3F68" w:rsidTr="005C3F68">
        <w:trPr>
          <w:trHeight w:val="765"/>
          <w:tblHeader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Назва установ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Кількість машино-місць (електрокари)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електрокари), м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веломісць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велосипеди), м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</w:tr>
      <w:tr w:rsidR="005C3F68" w:rsidTr="005C3F68">
        <w:trPr>
          <w:trHeight w:val="297"/>
          <w:jc w:val="center"/>
        </w:trPr>
        <w:tc>
          <w:tcPr>
            <w:tcW w:w="9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І. Оздоровчо-рекреаційна зона</w:t>
            </w:r>
          </w:p>
        </w:tc>
      </w:tr>
      <w:tr w:rsidR="005C3F68" w:rsidTr="005C3F68">
        <w:trPr>
          <w:trHeight w:val="76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Адміністративний будинок з бібліотекою, галереєю та виставковими залами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Культові споруди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видовищно-розважальний центр (амфітеатр)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Терми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клуб (на півдні)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кантрі-клуб (на півночі)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Яхт-клуб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 торгових комплекси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4×360=1440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4×18=72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Медичний коледж на 500 учнів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550 місць (зона №1)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200 місць (зона №2)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5C3F68" w:rsidTr="005C3F68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(3 клуби по 200 місць)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3×360=1080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3×18=54</w:t>
            </w:r>
          </w:p>
        </w:tc>
      </w:tr>
      <w:tr w:rsidR="005C3F68" w:rsidTr="005C3F68">
        <w:trPr>
          <w:trHeight w:val="392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Комунальна зона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5C3F68" w:rsidTr="005C3F68">
        <w:trPr>
          <w:trHeight w:val="21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оздоровчо-рекреаційній зоні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1055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12660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470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564</w:t>
            </w:r>
          </w:p>
        </w:tc>
      </w:tr>
      <w:tr w:rsidR="005C3F68" w:rsidTr="005C3F68">
        <w:trPr>
          <w:trHeight w:val="330"/>
          <w:jc w:val="center"/>
        </w:trPr>
        <w:tc>
          <w:tcPr>
            <w:tcW w:w="9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ІІІ. Парково-громадська зона</w:t>
            </w:r>
          </w:p>
        </w:tc>
      </w:tr>
      <w:tr w:rsidR="005C3F68" w:rsidTr="005C3F68">
        <w:trPr>
          <w:trHeight w:val="51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5C3F68" w:rsidTr="005C3F68">
        <w:trPr>
          <w:trHeight w:val="28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5C3F68" w:rsidTr="005C3F68">
        <w:trPr>
          <w:trHeight w:val="30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Торговий комплекс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144</w:t>
            </w:r>
          </w:p>
        </w:tc>
      </w:tr>
      <w:tr w:rsidR="005C3F68" w:rsidTr="005C3F68">
        <w:trPr>
          <w:trHeight w:val="31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Діснейленд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5C3F68" w:rsidTr="005C3F68">
        <w:trPr>
          <w:trHeight w:val="33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5C3F68" w:rsidTr="005C3F68">
        <w:trPr>
          <w:trHeight w:val="18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парково-громадській зоні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360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4320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440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528</w:t>
            </w:r>
          </w:p>
        </w:tc>
      </w:tr>
      <w:tr w:rsidR="005C3F68" w:rsidTr="005C3F68">
        <w:trPr>
          <w:trHeight w:val="43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 по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IntermedicalEcoCity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16980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910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F68" w:rsidRDefault="005C3F68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1092</w:t>
            </w:r>
          </w:p>
        </w:tc>
      </w:tr>
    </w:tbl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bookmarkStart w:id="0" w:name="_Toc359931490"/>
      <w:bookmarkStart w:id="1" w:name="_Toc128970829"/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1.3pt;margin-top:-36pt;width:38.55pt;height:27.6pt;z-index:251658240" stroked="f">
            <v:textbox>
              <w:txbxContent>
                <w:p w:rsidR="005C3F68" w:rsidRDefault="005C3F68" w:rsidP="005C3F68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271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sz w:val="26"/>
          <w:szCs w:val="26"/>
          <w:lang w:val="uk-UA"/>
        </w:rPr>
        <w:t>3.2.4.2. Інженерна підготовка території</w:t>
      </w:r>
      <w:bookmarkEnd w:id="0"/>
      <w:bookmarkEnd w:id="1"/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2" w:name="_Toc359931491"/>
      <w:bookmarkStart w:id="3" w:name="_Toc128970830"/>
      <w:r>
        <w:rPr>
          <w:rFonts w:ascii="Times New Roman" w:hAnsi="Times New Roman"/>
          <w:i/>
          <w:sz w:val="26"/>
          <w:szCs w:val="26"/>
          <w:lang w:val="uk-UA"/>
        </w:rPr>
        <w:t>Гідротехнічні заходи</w:t>
      </w:r>
      <w:bookmarkEnd w:id="2"/>
      <w:bookmarkEnd w:id="3"/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Згідно аналізу топографічних умов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ряд заболочених ділянок та локальних безстічних заболочених понижень на території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>
        <w:rPr>
          <w:rFonts w:ascii="Times New Roman" w:hAnsi="Times New Roman"/>
          <w:sz w:val="26"/>
          <w:szCs w:val="26"/>
          <w:lang w:val="uk-UA"/>
        </w:rPr>
        <w:t>.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архітектурно-планувальних рішень на території, що розглядається пропонується розміщення двох оздоровчо-рекреаційних зон: №1 - на 10,7 тис. відпочивальників, і №2 – на 2,5 тис. відпочивальників; будівництво закладів обслуговування; розважальних і спортивних закладів та паркова зона (</w:t>
      </w:r>
      <w:smartTag w:uri="urn:schemas-microsoft-com:office:smarttags" w:element="metricconverter">
        <w:smartTagPr>
          <w:attr w:name="ProductID" w:val="32 га"/>
        </w:smartTagPr>
        <w:r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). 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Вертикальне планування та дощова каналізація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аналізу топографічних та гідрогеологічних умов освоєння проектної території потребує влаштування заходів з інженерної підготовки, які включають підсипку території. За умови влаштування площинної підсипки території забудови та земляного полотна доріг, необхідно виконати подальше вертикальне планування цих територій.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Підсипку земляного полотна доріг виконати до абсолютної проектної відмітки 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 урахуванням прокладання інженерних мереж.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Підсипку території комплексів та паркової зони проводити до початку виконання робіт з забудови території, як початковий етап з інженерної підготовки території.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забезпечення нормального руху транспорту, пішоходів, мало мобільних груп населення та відводу поверхневих вод необхідно виконати заходи з вертикального планування і будівництва дощової каналізації.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pict>
          <v:shape id="_x0000_s1027" type="#_x0000_t202" style="position:absolute;left:0;text-align:left;margin-left:457.15pt;margin-top:-36pt;width:38.55pt;height:27.6pt;z-index:251658240" stroked="f">
            <v:textbox>
              <w:txbxContent>
                <w:p w:rsidR="005C3F68" w:rsidRDefault="005C3F68" w:rsidP="005C3F68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272</w:t>
                  </w:r>
                </w:p>
              </w:txbxContent>
            </v:textbox>
          </v:shape>
        </w:pict>
      </w:r>
      <w:r>
        <w:rPr>
          <w:rFonts w:ascii="Times New Roman" w:hAnsi="Times New Roman"/>
          <w:sz w:val="26"/>
          <w:szCs w:val="26"/>
          <w:lang w:val="uk-UA"/>
        </w:rPr>
        <w:t xml:space="preserve">Вертикальне планування визначає проектні відмітки території, при яких новий проектний рельєф найбільш доцільно та економічно обґрунтовано придатний для будівництва та експлуатації даної конкретної ділянки. 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Роботи з вертикального планування проводяться безпосередньо при виконані забудови території та її благоустрою.</w:t>
      </w:r>
    </w:p>
    <w:p w:rsidR="005C3F68" w:rsidRDefault="005C3F68" w:rsidP="005C3F6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При проектуванні нових вулиць та проїздів передбачити влаштування асфальтобетонного покриття. На пішохідних доріжках і тротуарах пропонується влаштування асфальтобетонного покриття та покриття із бетонних плит.</w:t>
      </w: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bookmarkStart w:id="4" w:name="_Toc359931493"/>
      <w:bookmarkStart w:id="5" w:name="_Toc128970832"/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3.2.4.3. Інженерне обладнання території</w:t>
      </w:r>
      <w:bookmarkEnd w:id="4"/>
      <w:bookmarkEnd w:id="5"/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Водопостачання і каналізація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Забудову території Міста майбутнього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„InterMedicalEcoCiti”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що проектуються передбачається обладнати системами водопостачання та каналізації.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Потреба у воді питної якості території, що проектується складе </w:t>
      </w:r>
      <w:smartTag w:uri="urn:schemas-microsoft-com:office:smarttags" w:element="metricconverter">
        <w:smartTagPr>
          <w:attr w:name="ProductID" w:val="3861,21 м3"/>
        </w:smartTagPr>
        <w:r>
          <w:rPr>
            <w:rFonts w:ascii="Times New Roman" w:hAnsi="Times New Roman"/>
            <w:sz w:val="26"/>
            <w:szCs w:val="26"/>
            <w:lang w:val="uk-UA"/>
          </w:rPr>
          <w:t>3861,21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за максимальну добу; </w:t>
      </w:r>
      <w:r>
        <w:rPr>
          <w:rFonts w:ascii="Times New Roman" w:eastAsia="MS Mincho" w:hAnsi="Times New Roman"/>
          <w:sz w:val="26"/>
          <w:szCs w:val="26"/>
          <w:lang w:val="uk-UA"/>
        </w:rPr>
        <w:t xml:space="preserve">технічної води на зрошення і поливання територій </w:t>
      </w:r>
      <w:smartTag w:uri="urn:schemas-microsoft-com:office:smarttags" w:element="metricconverter">
        <w:smartTagPr>
          <w:attr w:name="ProductID" w:val="4058,56 м3"/>
        </w:smartTagPr>
        <w:r>
          <w:rPr>
            <w:rFonts w:ascii="Times New Roman" w:hAnsi="Times New Roman"/>
            <w:sz w:val="26"/>
            <w:szCs w:val="26"/>
            <w:lang w:val="uk-UA"/>
          </w:rPr>
          <w:t>4058,56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за максимальну добу (ДБН 360-92**). Розрахунки по групах водокористувачів наведені у таблиці нижче.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Покриття розрахункової потреби у воді питної якості передбачається із підземних джерел. За гідрогеологічними умовами основним водоносним горизонтом в районі детального планування території є горизонт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верхньоміоценових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відкладів. Глибина залягання комплексу 70 - </w:t>
      </w:r>
      <w:smartTag w:uri="urn:schemas-microsoft-com:office:smarttags" w:element="metricconverter">
        <w:smartTagPr>
          <w:attr w:name="ProductID" w:val="120 м"/>
        </w:smartTagPr>
        <w:r>
          <w:rPr>
            <w:rFonts w:ascii="Times New Roman" w:hAnsi="Times New Roman"/>
            <w:sz w:val="26"/>
            <w:szCs w:val="26"/>
            <w:lang w:val="uk-UA"/>
          </w:rPr>
          <w:t>120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максимальний дебіт свердловин, що експлуатуються - 5-18 л/с, горизонт надзвичайно водоємний. Води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гідрокарбонатні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, з мінералізацією до 0,9 г/л. Розрахункова продуктивність свердловин за 20 годин за добу та дебіту 12 л/с – 0,86 тис.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>
        <w:rPr>
          <w:rFonts w:ascii="Times New Roman" w:hAnsi="Times New Roman"/>
          <w:sz w:val="26"/>
          <w:szCs w:val="26"/>
          <w:lang w:val="uk-UA"/>
        </w:rPr>
        <w:t>/добу.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забезпечення водою питної якості території Міста майбутнього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„InterMedicalEcoCiti”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проектом передбачається будівництво двох окремих систем питного водопостачання. Для зони № I проектуються дві ділянки водопровідних споруд та 4 свердловини. Для зон № II та №III проектується одна ділянка водопровідних споруд і одна артезіанська свердловина. Зона санітарної охорони першого поясу підземних джерел </w:t>
      </w:r>
      <w:smartTag w:uri="urn:schemas-microsoft-com:office:smarttags" w:element="metricconverter">
        <w:smartTagPr>
          <w:attr w:name="ProductID" w:val="30 м"/>
        </w:smartTagPr>
        <w:r>
          <w:rPr>
            <w:rFonts w:ascii="Times New Roman" w:hAnsi="Times New Roman"/>
            <w:sz w:val="26"/>
            <w:szCs w:val="26"/>
            <w:lang w:val="uk-UA"/>
          </w:rPr>
          <w:t>30 м</w:t>
        </w:r>
      </w:smartTag>
      <w:r>
        <w:rPr>
          <w:rFonts w:ascii="Times New Roman" w:hAnsi="Times New Roman"/>
          <w:sz w:val="26"/>
          <w:szCs w:val="26"/>
          <w:lang w:val="uk-UA"/>
        </w:rPr>
        <w:t>, другий та третій пояси розраховуються на стадії робочого проектування водозабору. На кожній ділянці передбачаються напірно-регулюючі резервуари, споруди знезаражування та поліпшення якості води (при необхідності), будівництво насосної станції II підйому.</w:t>
      </w:r>
    </w:p>
    <w:p w:rsidR="005C3F68" w:rsidRDefault="005C3F68" w:rsidP="005C3F6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6" w:name="_Toc359931495"/>
      <w:r>
        <w:rPr>
          <w:rFonts w:ascii="Times New Roman" w:hAnsi="Times New Roman"/>
          <w:i/>
          <w:sz w:val="26"/>
          <w:szCs w:val="26"/>
          <w:lang w:val="uk-UA"/>
        </w:rPr>
        <w:t>Санітарне очищення</w:t>
      </w:r>
      <w:bookmarkEnd w:id="6"/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Відповідно до норм ДБН 360-92** розрахунковий об’єм накопичення твердих побутових відходів (ТПВ) та сміття з вулиць на розрахунковий строк складе 4,21 тис. т/рік. Чисельність рекреантів цілорічних – 13200 осіб. Норма накопичення ТПВ 290 кг/рік, сміття та невраховані 10%. Необхідна площа полігону з розрахунку </w:t>
      </w:r>
      <w:smartTag w:uri="urn:schemas-microsoft-com:office:smarttags" w:element="metricconverter">
        <w:smartTagPr>
          <w:attr w:name="ProductID" w:val="0,02 га"/>
        </w:smartTagPr>
        <w:r>
          <w:rPr>
            <w:rFonts w:ascii="Times New Roman" w:hAnsi="Times New Roman"/>
            <w:sz w:val="26"/>
            <w:szCs w:val="26"/>
            <w:lang w:val="uk-UA"/>
          </w:rPr>
          <w:t>0,02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на 1 тис. т відходів на розрахунковий строк (20 років) – </w:t>
      </w:r>
      <w:smartTag w:uri="urn:schemas-microsoft-com:office:smarttags" w:element="metricconverter">
        <w:smartTagPr>
          <w:attr w:name="ProductID" w:val="1,68 га"/>
        </w:smartTagPr>
        <w:r>
          <w:rPr>
            <w:rFonts w:ascii="Times New Roman" w:hAnsi="Times New Roman"/>
            <w:sz w:val="26"/>
            <w:szCs w:val="26"/>
            <w:lang w:val="uk-UA"/>
          </w:rPr>
          <w:t>1,68 га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У зв'язку з тим,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витрат, рекомендується прийняти участь у розробці регіональної схеми санітарного очищення з проробленням варіанта дальнього транспортування, будівництва районного підприємства промислової переробки і знешкодження відходів. </w:t>
      </w:r>
      <w:r>
        <w:rPr>
          <w:rFonts w:ascii="Times New Roman" w:hAnsi="Times New Roman"/>
          <w:bCs/>
          <w:sz w:val="26"/>
          <w:szCs w:val="26"/>
          <w:lang w:val="uk-UA"/>
        </w:rPr>
        <w:t>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кар’єрів.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Також з метою забезпечення виконання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“Програми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поводження з твердими побутовими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відходами“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(постанова Кабінетові Міністрів України від 4.04.2004 р. №265) передбачається подальше впровадження організації роздільного збору твердих побутових відходів з наступним використанням і утилізацією. За умови організації роздільного збору обсяг вивозу твердих побутових відходів можна зменшити на 30-50%.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санітарного очищення необхідно: 3 сміттєвоза та 7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прибиральних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машин та механізмів.</w:t>
      </w:r>
    </w:p>
    <w:p w:rsidR="005C3F68" w:rsidRDefault="005C3F68" w:rsidP="005C3F68">
      <w:pPr>
        <w:spacing w:after="0" w:line="360" w:lineRule="auto"/>
        <w:ind w:firstLine="709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Енергопостачання</w:t>
      </w:r>
    </w:p>
    <w:p w:rsidR="005C3F68" w:rsidRDefault="005C3F68" w:rsidP="005C3F6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Проектом передбачається будівництво «Міста майбутнього» «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» з оздоровчо-рекреаційною та парково-громадською зонами. Для енергопостачання перспективного споживачів проектом пропонується </w:t>
      </w:r>
      <w:r>
        <w:rPr>
          <w:rFonts w:ascii="Times New Roman" w:hAnsi="Times New Roman"/>
          <w:sz w:val="26"/>
          <w:szCs w:val="26"/>
          <w:lang w:val="uk-UA" w:eastAsia="uk-UA"/>
        </w:rPr>
        <w:t xml:space="preserve">використання нетрадиційних і поновлюваних джерел енергії, </w:t>
      </w:r>
      <w:r>
        <w:rPr>
          <w:rFonts w:ascii="Times New Roman" w:hAnsi="Times New Roman"/>
          <w:sz w:val="26"/>
          <w:szCs w:val="26"/>
          <w:lang w:val="uk-UA"/>
        </w:rPr>
        <w:t xml:space="preserve">а саме енергії сонця. Потенціал сонячної енергії Арабатської Стрілки є достатньо високим для широкого впровадження теплоенергетичного обладнання. В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кліматометеорологічних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умовах території, що розглядається, є ефективним застосування плоских сонячних колекторів для сонячного теплопостачання, які використовують як пряму, так і розсіяну сонячну радіацію. Геліоустановки можна застосовувати в зонах децентралізованого теплопостачання та можуть бути розташовані на ділянках, що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не забудовуються, а також на дахах будівель-споживачів тепла. Враховуючи нерівномірність надходження тепла, установки сонячної теплоенергетики більш доцільно доповнювати іншими енергетичними установками (наприклад, тепловими насосами).</w:t>
      </w:r>
    </w:p>
    <w:p w:rsidR="00000000" w:rsidRPr="005C3F68" w:rsidRDefault="005C3F68">
      <w:pPr>
        <w:rPr>
          <w:lang w:val="uk-UA"/>
        </w:rPr>
      </w:pPr>
    </w:p>
    <w:sectPr w:rsidR="00000000" w:rsidRPr="005C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FB7"/>
    <w:multiLevelType w:val="hybridMultilevel"/>
    <w:tmpl w:val="3486510C"/>
    <w:lvl w:ilvl="0" w:tplc="D9C8734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C3F68"/>
    <w:rsid w:val="005C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C3F68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5C3F68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5C3F6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2262</Words>
  <Characters>12896</Characters>
  <Application>Microsoft Office Word</Application>
  <DocSecurity>0</DocSecurity>
  <Lines>107</Lines>
  <Paragraphs>30</Paragraphs>
  <ScaleCrop>false</ScaleCrop>
  <Company/>
  <LinksUpToDate>false</LinksUpToDate>
  <CharactersWithSpaces>15128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2013-08-08T10:38:00Z</dcterms:created>
  <dcterms:modified xsi:type="dcterms:W3CDTF">2013-08-08T10:38:00Z</dcterms:modified>
</cp:coreProperties>
</file>