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45D" w:rsidRDefault="00C6645D" w:rsidP="00C6645D">
      <w:pPr>
        <w:ind w:firstLine="708"/>
        <w:rPr>
          <w:rFonts w:ascii="Times New Roman" w:hAnsi="Times New Roman"/>
          <w:b/>
          <w:sz w:val="26"/>
          <w:szCs w:val="26"/>
          <w:lang w:val="uk-UA"/>
        </w:rPr>
      </w:pPr>
      <w:r w:rsidRPr="004A69B3">
        <w:rPr>
          <w:rFonts w:ascii="Times New Roman" w:hAnsi="Times New Roman"/>
          <w:b/>
          <w:sz w:val="26"/>
          <w:szCs w:val="26"/>
          <w:lang w:val="uk-UA"/>
        </w:rPr>
        <w:t>4.2.1</w:t>
      </w:r>
      <w:r>
        <w:rPr>
          <w:rFonts w:ascii="Times New Roman" w:hAnsi="Times New Roman"/>
          <w:b/>
          <w:sz w:val="26"/>
          <w:szCs w:val="26"/>
          <w:lang w:val="uk-UA"/>
        </w:rPr>
        <w:t>.</w:t>
      </w:r>
      <w:r w:rsidRPr="004A69B3">
        <w:rPr>
          <w:rFonts w:ascii="Times New Roman" w:hAnsi="Times New Roman"/>
          <w:b/>
          <w:sz w:val="26"/>
          <w:szCs w:val="26"/>
          <w:lang w:val="uk-UA"/>
        </w:rPr>
        <w:tab/>
        <w:t>Ключові параметри проектних рішень</w:t>
      </w:r>
    </w:p>
    <w:p w:rsidR="00C6645D" w:rsidRDefault="00C6645D" w:rsidP="00C6645D">
      <w:pPr>
        <w:keepLines/>
        <w:spacing w:after="0" w:line="360" w:lineRule="auto"/>
        <w:jc w:val="both"/>
        <w:rPr>
          <w:lang w:val="uk-UA"/>
        </w:rPr>
      </w:pPr>
      <w:r w:rsidRPr="008C3981">
        <w:tab/>
      </w:r>
    </w:p>
    <w:p w:rsidR="00C6645D" w:rsidRPr="00F62B2D" w:rsidRDefault="00C6645D" w:rsidP="00C664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F62B2D">
        <w:rPr>
          <w:rFonts w:ascii="Times New Roman" w:hAnsi="Times New Roman" w:cs="Times New Roman"/>
          <w:sz w:val="26"/>
          <w:szCs w:val="26"/>
          <w:lang w:val="uk-UA"/>
        </w:rPr>
        <w:t>Відповідно до концепції «</w:t>
      </w:r>
      <w:proofErr w:type="spellStart"/>
      <w:r w:rsidRPr="00F62B2D">
        <w:rPr>
          <w:rFonts w:ascii="Times New Roman" w:hAnsi="Times New Roman" w:cs="Times New Roman"/>
          <w:sz w:val="26"/>
          <w:szCs w:val="26"/>
          <w:lang w:val="uk-UA"/>
        </w:rPr>
        <w:t>InterMedicalEcoCity</w:t>
      </w:r>
      <w:proofErr w:type="spellEnd"/>
      <w:r w:rsidRPr="00F62B2D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F62B2D">
        <w:rPr>
          <w:rFonts w:ascii="Times New Roman" w:hAnsi="Times New Roman" w:cs="Times New Roman"/>
          <w:sz w:val="26"/>
          <w:szCs w:val="26"/>
          <w:lang w:val="uk-UA"/>
        </w:rPr>
        <w:t xml:space="preserve"> результаті реалізації проекту буде створено медичне екологічне місто, що умовно складається із трьох функціональних зон (медичної, оздоровчої та рекреаційної) та двох </w:t>
      </w:r>
      <w:proofErr w:type="spellStart"/>
      <w:r w:rsidRPr="00F62B2D">
        <w:rPr>
          <w:rFonts w:ascii="Times New Roman" w:hAnsi="Times New Roman" w:cs="Times New Roman"/>
          <w:sz w:val="26"/>
          <w:szCs w:val="26"/>
          <w:lang w:val="uk-UA"/>
        </w:rPr>
        <w:t>забезпечуючих</w:t>
      </w:r>
      <w:proofErr w:type="spellEnd"/>
      <w:r w:rsidRPr="00F62B2D">
        <w:rPr>
          <w:rFonts w:ascii="Times New Roman" w:hAnsi="Times New Roman" w:cs="Times New Roman"/>
          <w:sz w:val="26"/>
          <w:szCs w:val="26"/>
          <w:lang w:val="uk-UA"/>
        </w:rPr>
        <w:t xml:space="preserve"> зон – громадської та житлової</w:t>
      </w:r>
      <w:r>
        <w:rPr>
          <w:rFonts w:ascii="Times New Roman" w:hAnsi="Times New Roman" w:cs="Times New Roman"/>
          <w:sz w:val="26"/>
          <w:szCs w:val="26"/>
          <w:lang w:val="uk-UA"/>
        </w:rPr>
        <w:t>, які можуть мати наступні планувальні рішення.</w:t>
      </w:r>
    </w:p>
    <w:p w:rsidR="00C6645D" w:rsidRPr="005F782F" w:rsidRDefault="00C6645D" w:rsidP="00C6645D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u w:val="single"/>
          <w:lang w:val="uk-UA"/>
        </w:rPr>
        <w:t>Оздоровчо-рекреаційна зона</w:t>
      </w:r>
    </w:p>
    <w:p w:rsidR="00C6645D" w:rsidRPr="005F782F" w:rsidRDefault="00C6645D" w:rsidP="00C6645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lang w:val="uk-UA"/>
        </w:rPr>
        <w:tab/>
        <w:t>Загальна довжина берегової смуги 3400 метрів при ширині пляжу – 35 метрів, в тому числі: оздоровча зона – 1600 метрів; рекреаційна зона – 1420 метрів; інженерно-пляжне обладнання – 380 метрів (з розрахунку виключається).</w:t>
      </w:r>
    </w:p>
    <w:p w:rsidR="00C6645D" w:rsidRPr="005F782F" w:rsidRDefault="00C6645D" w:rsidP="00C6645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lang w:val="uk-UA"/>
        </w:rPr>
        <w:tab/>
        <w:t>Допустима ємність території пляжів оздоровчої і рекреаційної зони складає біля 11,89 тис. осіб.</w:t>
      </w:r>
    </w:p>
    <w:p w:rsidR="00C6645D" w:rsidRPr="005F782F" w:rsidRDefault="00C6645D" w:rsidP="00C6645D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u w:val="single"/>
          <w:lang w:val="uk-UA"/>
        </w:rPr>
        <w:t>Оздоровча зона</w:t>
      </w:r>
    </w:p>
    <w:p w:rsidR="00C6645D" w:rsidRPr="005F782F" w:rsidRDefault="00C6645D" w:rsidP="00C6645D">
      <w:pPr>
        <w:keepLines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lang w:val="uk-UA"/>
        </w:rPr>
        <w:tab/>
        <w:t>Загальна довжина берегової смуги 1150 метрів при ширині пляжу 35 метрів. Інженерно-пляжне обладнання – 150 метрів (з розрахунку виключається).</w:t>
      </w:r>
    </w:p>
    <w:p w:rsidR="00C6645D" w:rsidRPr="005F782F" w:rsidRDefault="00C6645D" w:rsidP="00C6645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lang w:val="uk-UA"/>
        </w:rPr>
        <w:tab/>
        <w:t>Допустима ємність території пляжів оздоровчої зони для дітей (600 метрів з урахуванням добового коефіцієнту змінності 1,1) — 1200 осіб/добу; для дорослих (400 метрів з урахуванням коефіцієнту змінності 1,2) — 2400 осіб/добу. Разом – 3600 осіб/добу.</w:t>
      </w:r>
    </w:p>
    <w:p w:rsidR="00C6645D" w:rsidRPr="005F782F" w:rsidRDefault="00C6645D" w:rsidP="00C6645D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u w:val="single"/>
          <w:lang w:val="uk-UA"/>
        </w:rPr>
        <w:t>Парково-громадська зона</w:t>
      </w:r>
    </w:p>
    <w:p w:rsidR="00C6645D" w:rsidRPr="005F782F" w:rsidRDefault="00C6645D" w:rsidP="00C6645D">
      <w:pPr>
        <w:keepLines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Паркова зона займає площу </w:t>
      </w:r>
      <w:smartTag w:uri="urn:schemas-microsoft-com:office:smarttags" w:element="metricconverter">
        <w:smartTagPr>
          <w:attr w:name="ProductID" w:val="32,0 га"/>
        </w:smartTagPr>
        <w:r w:rsidRPr="005F782F">
          <w:rPr>
            <w:rFonts w:ascii="Times New Roman" w:hAnsi="Times New Roman" w:cs="Times New Roman"/>
            <w:sz w:val="26"/>
            <w:szCs w:val="26"/>
            <w:lang w:val="uk-UA"/>
          </w:rPr>
          <w:t>32,0 га</w:t>
        </w:r>
      </w:smartTag>
      <w:r w:rsidRPr="005F782F">
        <w:rPr>
          <w:rFonts w:ascii="Times New Roman" w:hAnsi="Times New Roman" w:cs="Times New Roman"/>
          <w:sz w:val="26"/>
          <w:szCs w:val="26"/>
          <w:lang w:val="uk-UA"/>
        </w:rPr>
        <w:t>.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насаджень.</w:t>
      </w:r>
    </w:p>
    <w:p w:rsidR="00C6645D" w:rsidRDefault="00C6645D" w:rsidP="00C6645D">
      <w:pPr>
        <w:keepLines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F782F">
        <w:rPr>
          <w:rFonts w:ascii="Times New Roman" w:hAnsi="Times New Roman" w:cs="Times New Roman"/>
          <w:sz w:val="26"/>
          <w:szCs w:val="26"/>
          <w:lang w:val="uk-UA"/>
        </w:rPr>
        <w:tab/>
        <w:t>Потенційна допустима рекреаційна ємність даної ділянки визначена з розрахунку навантаження 50 осіб/га (ДБН 360-92** п. 5.6). Враховуючи, що дане навантаження для формування парку можливе у віддаленій перспективі, доцільно по допустимому навантаженню застосовувати коефіцієнт коригування 0,5. Таким чином, допустима рекреаційна ємність на розрахунковий строк буде складати 800 осіб/добу.</w:t>
      </w:r>
    </w:p>
    <w:p w:rsidR="00C6645D" w:rsidRPr="009A647E" w:rsidRDefault="00C6645D" w:rsidP="00C6645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Таким чином, можна визначити наступні ключові параметри проектних рішень. </w:t>
      </w:r>
      <w:r w:rsidRPr="009A647E">
        <w:rPr>
          <w:rFonts w:ascii="Times New Roman" w:hAnsi="Times New Roman"/>
          <w:sz w:val="26"/>
          <w:szCs w:val="26"/>
          <w:lang w:val="uk-UA"/>
        </w:rPr>
        <w:t>За планувальною структурою територія «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>» складається з 3-х зон:</w:t>
      </w:r>
    </w:p>
    <w:p w:rsidR="00C6645D" w:rsidRPr="009A647E" w:rsidRDefault="00C6645D" w:rsidP="00C6645D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Оздоровчо-рекреаційна зона площею </w:t>
      </w:r>
      <w:smartTag w:uri="urn:schemas-microsoft-com:office:smarttags" w:element="metricconverter">
        <w:smartTagPr>
          <w:attr w:name="ProductID" w:val="360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360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Оздоровча зона площею </w:t>
      </w:r>
      <w:smartTag w:uri="urn:schemas-microsoft-com:office:smarttags" w:element="metricconverter">
        <w:smartTagPr>
          <w:attr w:name="ProductID" w:val="54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54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 xml:space="preserve">, в т.ч. пляжна зона – </w:t>
      </w:r>
      <w:smartTag w:uri="urn:schemas-microsoft-com:office:smarttags" w:element="metricconverter">
        <w:smartTagPr>
          <w:attr w:name="ProductID" w:val="7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7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Парково-громадська зона – </w:t>
      </w:r>
      <w:smartTag w:uri="urn:schemas-microsoft-com:office:smarttags" w:element="metricconverter">
        <w:smartTagPr>
          <w:attr w:name="ProductID" w:val="42,0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42,0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1"/>
          <w:numId w:val="1"/>
        </w:numPr>
        <w:spacing w:after="0" w:line="360" w:lineRule="auto"/>
        <w:ind w:left="0" w:firstLine="900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Громадська – </w:t>
      </w:r>
      <w:smartTag w:uri="urn:schemas-microsoft-com:office:smarttags" w:element="metricconverter">
        <w:smartTagPr>
          <w:attr w:name="ProductID" w:val="10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10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1"/>
          <w:numId w:val="1"/>
        </w:numPr>
        <w:spacing w:after="0" w:line="360" w:lineRule="auto"/>
        <w:ind w:left="0" w:firstLine="900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Паркова – </w:t>
      </w:r>
      <w:smartTag w:uri="urn:schemas-microsoft-com:office:smarttags" w:element="metricconverter">
        <w:smartTagPr>
          <w:attr w:name="ProductID" w:val="32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32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.</w:t>
      </w:r>
    </w:p>
    <w:p w:rsidR="00C6645D" w:rsidRPr="009A647E" w:rsidRDefault="00C6645D" w:rsidP="00C6645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Територія оздоровчо-рекреаційного комплексу розділена на 8 основних зон загальною площею </w:t>
      </w:r>
      <w:smartTag w:uri="urn:schemas-microsoft-com:office:smarttags" w:element="metricconverter">
        <w:smartTagPr>
          <w:attr w:name="ProductID" w:val="360,0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360,0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, зокрема:</w:t>
      </w:r>
    </w:p>
    <w:p w:rsidR="00C6645D" w:rsidRPr="009A647E" w:rsidRDefault="00C6645D" w:rsidP="00C6645D">
      <w:pPr>
        <w:pStyle w:val="a3"/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Зона оздоровчих закладів (санаторії для батьків з дітьми і дитячі санаторії) загальною площею </w:t>
      </w:r>
      <w:smartTag w:uri="urn:schemas-microsoft-com:office:smarttags" w:element="metricconverter">
        <w:smartTagPr>
          <w:attr w:name="ProductID" w:val="128,96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128,96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Зона територій закладів рекреаційного призначення – </w:t>
      </w:r>
      <w:smartTag w:uri="urn:schemas-microsoft-com:office:smarttags" w:element="metricconverter">
        <w:smartTagPr>
          <w:attr w:name="ProductID" w:val="111,9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111,9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Зона зелених насаджень і спортивних споруд – </w:t>
      </w:r>
      <w:smartTag w:uri="urn:schemas-microsoft-com:office:smarttags" w:element="metricconverter">
        <w:smartTagPr>
          <w:attr w:name="ProductID" w:val="56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56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Медичний коледж – </w:t>
      </w:r>
      <w:smartTag w:uri="urn:schemas-microsoft-com:office:smarttags" w:element="metricconverter">
        <w:smartTagPr>
          <w:attr w:name="ProductID" w:val="6,2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6,2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Комунальна зона – </w:t>
      </w:r>
      <w:smartTag w:uri="urn:schemas-microsoft-com:office:smarttags" w:element="metricconverter">
        <w:smartTagPr>
          <w:attr w:name="ProductID" w:val="9,0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9,0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Зона пляжів – </w:t>
      </w:r>
      <w:smartTag w:uri="urn:schemas-microsoft-com:office:smarttags" w:element="metricconverter">
        <w:smartTagPr>
          <w:attr w:name="ProductID" w:val="15,4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15,4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Зона центрів – </w:t>
      </w:r>
      <w:smartTag w:uri="urn:schemas-microsoft-com:office:smarttags" w:element="metricconverter">
        <w:smartTagPr>
          <w:attr w:name="ProductID" w:val="6,6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6,6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Комунікації, вулиці, дороги – </w:t>
      </w:r>
      <w:smartTag w:uri="urn:schemas-microsoft-com:office:smarttags" w:element="metricconverter">
        <w:smartTagPr>
          <w:attr w:name="ProductID" w:val="25,94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25,94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.</w:t>
      </w:r>
    </w:p>
    <w:p w:rsidR="00C6645D" w:rsidRPr="009A647E" w:rsidRDefault="00C6645D" w:rsidP="00C6645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>Згідно генерального плану території Арабатської Стрілки виділялися у дві основні категорії земель: курортно-рекреаційні і сельбищі.</w:t>
      </w:r>
    </w:p>
    <w:p w:rsidR="00C6645D" w:rsidRPr="009A647E" w:rsidRDefault="00C6645D" w:rsidP="00C6645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Житлове будівництво намічалося розміщувати в населених пунктах Генічеськ, Генічеська Гірка, 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Щасливцеве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>.</w:t>
      </w:r>
    </w:p>
    <w:p w:rsidR="00C6645D" w:rsidRPr="009A647E" w:rsidRDefault="00C6645D" w:rsidP="00C6645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>Для розміщення житла для обслуговуючого персоналу «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 xml:space="preserve">» пропонується на І чергу села 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Щасливцеве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 xml:space="preserve"> і 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 xml:space="preserve">, у генеральних планах яких передбачені території для розміщення житлового будівництва у </w:t>
      </w:r>
      <w:smartTag w:uri="urn:schemas-microsoft-com:office:smarttags" w:element="metricconverter">
        <w:smartTagPr>
          <w:attr w:name="ProductID" w:val="47,0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47,0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 xml:space="preserve"> і </w:t>
      </w:r>
      <w:smartTag w:uri="urn:schemas-microsoft-com:office:smarttags" w:element="metricconverter">
        <w:smartTagPr>
          <w:attr w:name="ProductID" w:val="57,0 га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57,0 га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, відповідно.</w:t>
      </w:r>
    </w:p>
    <w:p w:rsidR="00C6645D" w:rsidRPr="009A647E" w:rsidRDefault="00C6645D" w:rsidP="00C6645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>На перспективу можна задіяти площадки під житлове будівництво в м. Генічеськ і с. Генічеська Гірка.</w:t>
      </w:r>
    </w:p>
    <w:p w:rsidR="00C6645D" w:rsidRPr="009A647E" w:rsidRDefault="00C6645D" w:rsidP="00C6645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>На даний час частково реалізована І черга будівництва у складі оздоровчої зони:</w:t>
      </w:r>
    </w:p>
    <w:p w:rsidR="00C6645D" w:rsidRPr="009A647E" w:rsidRDefault="00C6645D" w:rsidP="00C6645D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Головний корпус (готель) на 120 номерів – </w:t>
      </w:r>
      <w:smartTag w:uri="urn:schemas-microsoft-com:office:smarttags" w:element="metricconverter">
        <w:smartTagPr>
          <w:attr w:name="ProductID" w:val="894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8940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lastRenderedPageBreak/>
        <w:t xml:space="preserve">Лікувальний корпус на 300 відвідувань в зміну – </w:t>
      </w:r>
      <w:smartTag w:uri="urn:schemas-microsoft-com:office:smarttags" w:element="metricconverter">
        <w:smartTagPr>
          <w:attr w:name="ProductID" w:val="827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8270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Господарська зона з блоком харчування (склади, трансформаторна, 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дизельгенератор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 xml:space="preserve">, пральня, ресторан 250 місць в зміну + кафе 60 місць) – </w:t>
      </w:r>
      <w:smartTag w:uri="urn:schemas-microsoft-com:office:smarttags" w:element="metricconverter">
        <w:smartTagPr>
          <w:attr w:name="ProductID" w:val="664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6640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C6645D" w:rsidRPr="009A647E" w:rsidRDefault="00C6645D" w:rsidP="00C6645D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Артезіанські свердловини 2 шт. загальним дебітом (окремі орендовані ділянки) – </w:t>
      </w:r>
      <w:smartTag w:uri="urn:schemas-microsoft-com:office:smarttags" w:element="metricconverter">
        <w:smartTagPr>
          <w:attr w:name="ProductID" w:val="800 м3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800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 xml:space="preserve"> за добу;</w:t>
      </w:r>
    </w:p>
    <w:p w:rsidR="00C6645D" w:rsidRPr="009A647E" w:rsidRDefault="00C6645D" w:rsidP="00C6645D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Очисні споруди (окрема орендована ділянка) – </w:t>
      </w:r>
      <w:smartTag w:uri="urn:schemas-microsoft-com:office:smarttags" w:element="metricconverter">
        <w:smartTagPr>
          <w:attr w:name="ProductID" w:val="500 м3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500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 w:rsidRPr="009A647E">
        <w:rPr>
          <w:rFonts w:ascii="Times New Roman" w:hAnsi="Times New Roman"/>
          <w:sz w:val="26"/>
          <w:szCs w:val="26"/>
          <w:vertAlign w:val="superscript"/>
          <w:lang w:val="uk-UA"/>
        </w:rPr>
        <w:t xml:space="preserve"> </w:t>
      </w:r>
      <w:r w:rsidRPr="009A647E">
        <w:rPr>
          <w:rFonts w:ascii="Times New Roman" w:hAnsi="Times New Roman"/>
          <w:sz w:val="26"/>
          <w:szCs w:val="26"/>
          <w:lang w:val="uk-UA"/>
        </w:rPr>
        <w:t>за добу.</w:t>
      </w:r>
    </w:p>
    <w:p w:rsidR="007B2C82" w:rsidRDefault="007B2C82">
      <w:bookmarkStart w:id="0" w:name="_GoBack"/>
      <w:bookmarkEnd w:id="0"/>
    </w:p>
    <w:sectPr w:rsidR="007B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B54D9"/>
    <w:multiLevelType w:val="hybridMultilevel"/>
    <w:tmpl w:val="0FFC91D8"/>
    <w:lvl w:ilvl="0" w:tplc="3044090A">
      <w:start w:val="3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265523A"/>
    <w:multiLevelType w:val="hybridMultilevel"/>
    <w:tmpl w:val="6C603746"/>
    <w:lvl w:ilvl="0" w:tplc="122EE5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B77621B"/>
    <w:multiLevelType w:val="multilevel"/>
    <w:tmpl w:val="0532C6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475"/>
    <w:rsid w:val="00430475"/>
    <w:rsid w:val="007B2C82"/>
    <w:rsid w:val="00C6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6645D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6645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2013-07-16T13:47:00Z</dcterms:created>
  <dcterms:modified xsi:type="dcterms:W3CDTF">2013-07-16T13:47:00Z</dcterms:modified>
</cp:coreProperties>
</file>