
<file path=[Content_Types].xml><?xml version="1.0" encoding="utf-8"?>
<Types xmlns="http://schemas.openxmlformats.org/package/2006/content-types"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2.3.1.1. Споживачі послуг лікувально-оздоровчого туризму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Туристи, які подорожують в лікувальних та оздоровчих цілях, здійснюють відвідування санаторно-курортних установ з такою частотою: 1 раз на рік – 17%, раз на 2 роки – 21%, раз на 3 роки – 24%, раз на 4 роки – 17%, раз на 5 років – 21%, з цього можна зробити висновок, що лікувально-оздоровчий туризм є досить затребуваним, хоча й періодичним (рис. 2.24).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005462" cy="2191004"/>
            <wp:effectExtent l="6091" t="6096" r="6852" b="3810"/>
            <wp:docPr id="2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2.24 – Розподіл туристів за періодичністю туристичних подорожей з метою лікування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Приблизно 53% респондентів заявили, що їм до вподоби відпочивати сім’ями з дітьми – це сегмент людей віком від 25 до 45 років, з друзями полюбляють приїжджати на оздоровлення та лікування 41% опитуваних; поодинці вважають за краще оздоровлюватись 6% – це люди віком від 56 до 65 років.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Формулюючи підставу вибору місця лікування, 38% респондентів заявили, що головним фактором, що визначає звернення в той або інший лікувально-оздоровчий комплекс є рекомендація друзів та знайомих, цей сегмент охоплює людей середнього віку (35-40 років). Щодо вибору місця оздоровлення, то 11% опитуваних відповіли, що значущим для них фактором є відомість закладу – це люди середнього віку; минулий досвід звернення (11%); вартість лікування та оздоровлення (11%) – в основному це люди віком від 56 до 65 років. По 8% респондентів відповіли, що їх приваблює місце розташування, а також конкретна пропозиція, яка їх зацікавила (рис. 2.25).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Майже 38% заявили, що бажають оздоровлюватись та лікуватись навесні, 24% – влітку, 14% – восени, 24% опитуваних стали прихильниками зимової пори року (рис. 2.26).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Більшість, а саме 40% опитуваних отримують рекламну інформацію про туризм з мережі Інтернет, також про туристичні продукти дізнаються з телебачення (14%), з журналів та газет (14%), від друзів дізнаються 17% респондентів, всі інші дізнаються з радіо (2%), вуличної реклами (2%), почтової розсилки (2%), роздачі листівок (2%).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295924"/>
            <wp:effectExtent l="6101" t="6086" r="3177" b="4945"/>
            <wp:docPr id="3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2.25 – Розподіл туристів за підставами вибору певного лікувально-оздоровчого закладу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296275"/>
            <wp:effectExtent l="6101" t="6103" r="3177" b="4577"/>
            <wp:docPr id="4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2.26 – Розподіл туристів за бажаною порою року для лікування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Для всіх без винятку при виборі лікувально-оздоровчого комплексу </w:t>
      </w: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важливим став вибір природного середовища, 42% респондентів хотіли б оздоровлюватись за межами міста, 58% всіх опитуваних заявили, що хотіли б провести цей час безпосередньо біля лікувальних ресурсів.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Безперечна більшість </w:t>
      </w:r>
      <w:bookmarkStart w:id="0" w:name="OLE_LINK1"/>
      <w:bookmarkStart w:id="1" w:name="OLE_LINK2"/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bookmarkEnd w:id="0"/>
      <w:bookmarkEnd w:id="1"/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98% – віддали перевагу проживанню під час оздоровлення в затишних гостьових будиночках (котеджах) і тільки 2% хотіли б проживати в спальних корпусах готельного типу.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Додаткові послуги, які б хотіли отримувати туристи поряд із лікуванням та оздоровленням: харчування (67%) та фітобар (4%), тренажерний зал (24%), сауна та баня (15%), кінні прогулянки (15%), салон краси (10%), настільні ігри, більярд (2%), цікаві розважальні або екскурсійні програми (56) (рис. 2.27).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307232"/>
            <wp:effectExtent l="6101" t="6083" r="3177" b="4435"/>
            <wp:docPr id="5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2.27 – Розподіл туристів за бажаними додатковими (окрім лікування) послугами*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A5FDC">
        <w:rPr>
          <w:rFonts w:ascii="Times New Roman" w:eastAsia="Times New Roman" w:hAnsi="Times New Roman" w:cs="Times New Roman"/>
          <w:sz w:val="20"/>
          <w:szCs w:val="20"/>
          <w:lang w:val="uk-UA"/>
        </w:rPr>
        <w:t>*вибір обмежувався не більше, ніж трьома позиціями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Більшість, а саме 57% опитуваних часом, який могли б приділити оздоровленню, назвали 2-3 тижні, 14% віддали перевагу 1 тижню і 9% хотіли б оздоровлюватись 3-4 тижні (2.28).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870950" cy="1920395"/>
            <wp:effectExtent l="6100" t="6084" r="3050" b="8366"/>
            <wp:docPr id="6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2.28 – Розподіл туристів за бажаним строком лікування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Близько 59% опитаних мають можливість і готові витратити на оздоровлення 300-500 грн./добу, 23% – 500-700 грн./добу, суму в 700-900 грн./добу готові витратити 11% респондентів, і 7% можуть дозволити собі оздоровлення та лікування за більше 900 грн./добу (рис. 2.29).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421626"/>
            <wp:effectExtent l="6101" t="6101" r="3177" b="6863"/>
            <wp:docPr id="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2.29 – Розподіл туристів за прийнятною вартістю лікування</w:t>
      </w:r>
    </w:p>
    <w:p w:rsidR="001D0720" w:rsidRPr="00CA5FDC" w:rsidRDefault="001D0720" w:rsidP="001D072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Отже,</w:t>
      </w:r>
      <w:r w:rsidRPr="00CA5FDC">
        <w:rPr>
          <w:rFonts w:ascii="Times New Roman" w:eastAsia="Times New Roman" w:hAnsi="Times New Roman" w:cs="Times New Roman"/>
          <w:i/>
          <w:sz w:val="26"/>
          <w:szCs w:val="26"/>
          <w:lang w:val="uk-UA"/>
        </w:rPr>
        <w:t xml:space="preserve"> дослідження споживача лікувально-оздоровчих послуг дозволило дійти таких висновків: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санаторно-курортне обслуговування користується стабільним попитом на ринку туризму, що і показують результати опитування, кожен шостий респондент подорожував в оздоровчих цілях, причому, як відомо, вартість лікування та оздоровлення в Україні нижче, ніж у більшості розвинених зарубіжних країн, тобто ринок має тенденцію до збільшення;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більшість туристів дізнаються про новий туристичний продукт через мережу Інтернет, також з телебачення, журналів, газет, вуличної реклами та з інших джерел;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головними причинами відвідування того чи іншого оздоровчого закладу є рекомендації друзів, чималий вплив на вибір туристів справляють також вартість та минулий досвід відпочинку;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природне середовище також має велике значення при виборі місця оздоровлення, більшість потенційних споживачів віддають перевагу установам, які знаходяться за межами міста;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 даний час просліджується тенденція високого попиту на проживання пацієнтів в окремо розташованих гостьових будиночках, що і підтверджується </w:t>
      </w: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результатами опитування, 98% респондентів відповіли, що хотіли б проживати в котеджах;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цікавим фактом виявилось те, що більшість туристів віддають перевагу відпочинку з сім’єю та дітьми, тому важливо також організувати дозвілля дитини під час перебування в лікувально-оздоровчому закладі;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потенційними споживачами лікувально-оздоровчих послуг є люди середнього (від 35 до 45 років) та похилого (від 56 до 65 років) віку;</w:t>
      </w:r>
    </w:p>
    <w:p w:rsidR="001D0720" w:rsidRPr="00CA5FDC" w:rsidRDefault="001D0720" w:rsidP="001D0720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при створенні лікувально-оздоровчого закладу важливо враховувати, що середня прийнята вартість лікування становити 300-500 грн./добу.</w:t>
      </w:r>
    </w:p>
    <w:p w:rsidR="00000000" w:rsidRPr="001D0720" w:rsidRDefault="001D0720">
      <w:pPr>
        <w:rPr>
          <w:lang w:val="uk-UA"/>
        </w:rPr>
      </w:pPr>
    </w:p>
    <w:sectPr w:rsidR="00000000" w:rsidRPr="001D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0720"/>
    <w:rsid w:val="001D0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7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v>Періодичність</c:v>
          </c:tx>
          <c:explosion val="25"/>
          <c:dLbls>
            <c:dLbl>
              <c:idx val="0"/>
              <c:layout>
                <c:manualLayout>
                  <c:x val="-3.9998206745895895E-2"/>
                  <c:y val="3.5354330708661418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9.4425995663585546E-2"/>
                  <c:y val="1.8931175269758061E-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Лист1!$C$30:$C$34</c:f>
              <c:strCache>
                <c:ptCount val="5"/>
                <c:pt idx="0">
                  <c:v>1 раз на рік</c:v>
                </c:pt>
                <c:pt idx="1">
                  <c:v>1 раз на 2 роки</c:v>
                </c:pt>
                <c:pt idx="2">
                  <c:v>1 раз на 3 роки</c:v>
                </c:pt>
                <c:pt idx="3">
                  <c:v>1 раз на 4 роки</c:v>
                </c:pt>
                <c:pt idx="4">
                  <c:v>1 раз на 5 років</c:v>
                </c:pt>
              </c:strCache>
            </c:strRef>
          </c:cat>
          <c:val>
            <c:numRef>
              <c:f>Лист1!$F$30:$F$34</c:f>
              <c:numCache>
                <c:formatCode>0.00</c:formatCode>
                <c:ptCount val="5"/>
                <c:pt idx="0">
                  <c:v>17.052023121387283</c:v>
                </c:pt>
                <c:pt idx="1">
                  <c:v>21.098265895953759</c:v>
                </c:pt>
                <c:pt idx="2">
                  <c:v>23.988439306358284</c:v>
                </c:pt>
                <c:pt idx="3">
                  <c:v>16.76300578034682</c:v>
                </c:pt>
                <c:pt idx="4">
                  <c:v>21.098265895953759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v>Підстави вибору місця</c:v>
          </c:tx>
          <c:explosion val="25"/>
          <c:dLbls>
            <c:dLbl>
              <c:idx val="0"/>
              <c:layout>
                <c:manualLayout>
                  <c:x val="1.3764146417181723E-2"/>
                  <c:y val="-6.3052639253427037E-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Лист1!$C$57:$C$62</c:f>
              <c:strCache>
                <c:ptCount val="6"/>
                <c:pt idx="0">
                  <c:v>рекомендації друзів та знайомих</c:v>
                </c:pt>
                <c:pt idx="1">
                  <c:v>відомість (імідж) лікувально-оздоровчого закладу</c:v>
                </c:pt>
                <c:pt idx="2">
                  <c:v>минулий власний досвід</c:v>
                </c:pt>
                <c:pt idx="3">
                  <c:v>місце розташування (привабливість території)</c:v>
                </c:pt>
                <c:pt idx="4">
                  <c:v>вартість перебування</c:v>
                </c:pt>
                <c:pt idx="5">
                  <c:v>цікаві додаткові пропозиції</c:v>
                </c:pt>
              </c:strCache>
            </c:strRef>
          </c:cat>
          <c:val>
            <c:numRef>
              <c:f>Лист1!$F$57:$F$62</c:f>
              <c:numCache>
                <c:formatCode>0.00</c:formatCode>
                <c:ptCount val="6"/>
                <c:pt idx="0">
                  <c:v>37.861271676300454</c:v>
                </c:pt>
                <c:pt idx="1">
                  <c:v>12.138728323699391</c:v>
                </c:pt>
                <c:pt idx="2">
                  <c:v>10.982658959537572</c:v>
                </c:pt>
                <c:pt idx="3">
                  <c:v>13.872832369942243</c:v>
                </c:pt>
                <c:pt idx="4">
                  <c:v>17.052023121387283</c:v>
                </c:pt>
                <c:pt idx="5">
                  <c:v>8.092485549132979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showCatName val="1"/>
            <c:showPercent val="1"/>
          </c:dLbls>
          <c:cat>
            <c:strRef>
              <c:f>Лист1!$C$85:$C$88</c:f>
              <c:strCache>
                <c:ptCount val="4"/>
                <c:pt idx="0">
                  <c:v>весна</c:v>
                </c:pt>
                <c:pt idx="1">
                  <c:v>літо</c:v>
                </c:pt>
                <c:pt idx="2">
                  <c:v>осінь</c:v>
                </c:pt>
                <c:pt idx="3">
                  <c:v>зима</c:v>
                </c:pt>
              </c:strCache>
            </c:strRef>
          </c:cat>
          <c:val>
            <c:numRef>
              <c:f>Лист1!$F$85:$F$88</c:f>
              <c:numCache>
                <c:formatCode>0.00</c:formatCode>
                <c:ptCount val="4"/>
                <c:pt idx="0">
                  <c:v>37.861271676300454</c:v>
                </c:pt>
                <c:pt idx="1">
                  <c:v>23.988439306358284</c:v>
                </c:pt>
                <c:pt idx="2">
                  <c:v>14.16184971098267</c:v>
                </c:pt>
                <c:pt idx="3">
                  <c:v>23.988439306358284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4.0217847769028869E-2"/>
                  <c:y val="-7.003827646544183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харчування
66,76%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7.7362062850252114E-2"/>
                  <c:y val="-0.1548122630504525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фітобар
3,76%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8.6639568702561065E-2"/>
                  <c:y val="-5.91174540682417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тренажерний зал
23,99%</a:t>
                    </a:r>
                  </a:p>
                </c:rich>
              </c:tx>
              <c:showCatName val="1"/>
              <c:showPercent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сауна та/або баня
14,74%</a:t>
                    </a:r>
                  </a:p>
                </c:rich>
              </c:tx>
              <c:showCatName val="1"/>
              <c:showPercent val="1"/>
            </c:dLbl>
            <c:dLbl>
              <c:idx val="4"/>
              <c:layout>
                <c:manualLayout>
                  <c:x val="-6.8274242746683686E-2"/>
                  <c:y val="1.056867891513564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кінні прогулянки
14,74%</a:t>
                    </a:r>
                  </a:p>
                </c:rich>
              </c:tx>
              <c:showCatName val="1"/>
              <c:showPercent val="1"/>
            </c:dLbl>
            <c:dLbl>
              <c:idx val="5"/>
              <c:layout>
                <c:manualLayout>
                  <c:x val="-9.7467262538128693E-2"/>
                  <c:y val="9.0066345873433176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салон краси
9,83%</a:t>
                    </a:r>
                  </a:p>
                </c:rich>
              </c:tx>
              <c:showCatName val="1"/>
              <c:showPercent val="1"/>
            </c:dLbl>
            <c:dLbl>
              <c:idx val="6"/>
              <c:layout>
                <c:manualLayout>
                  <c:x val="-3.3598850819323262E-2"/>
                  <c:y val="-0.1084977398658501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настільні ігри, більярд
2,02%</a:t>
                    </a:r>
                  </a:p>
                </c:rich>
              </c:tx>
              <c:showCatName val="1"/>
              <c:showPercent val="1"/>
            </c:dLbl>
            <c:dLbl>
              <c:idx val="7"/>
              <c:layout>
                <c:manualLayout>
                  <c:x val="-5.1376037454777791E-2"/>
                  <c:y val="4.43755468066491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цікаві розважальні та/або екскурсійні програми
56,07%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Лист1!$C$112:$C$119</c:f>
              <c:strCache>
                <c:ptCount val="8"/>
                <c:pt idx="0">
                  <c:v>харчування</c:v>
                </c:pt>
                <c:pt idx="1">
                  <c:v>фітобар</c:v>
                </c:pt>
                <c:pt idx="2">
                  <c:v>тренажерний зал</c:v>
                </c:pt>
                <c:pt idx="3">
                  <c:v>сауна та/або баня</c:v>
                </c:pt>
                <c:pt idx="4">
                  <c:v>кінні прогулянки</c:v>
                </c:pt>
                <c:pt idx="5">
                  <c:v>салон краси</c:v>
                </c:pt>
                <c:pt idx="6">
                  <c:v>настольні ігри, більярд</c:v>
                </c:pt>
                <c:pt idx="7">
                  <c:v>цікаві розважальні та/або екскурсійні програми</c:v>
                </c:pt>
              </c:strCache>
            </c:strRef>
          </c:cat>
          <c:val>
            <c:numRef>
              <c:f>Лист1!$H$112:$H$119</c:f>
              <c:numCache>
                <c:formatCode>0.00</c:formatCode>
                <c:ptCount val="8"/>
                <c:pt idx="0">
                  <c:v>66.763005780347029</c:v>
                </c:pt>
                <c:pt idx="1">
                  <c:v>3.7572254335260107</c:v>
                </c:pt>
                <c:pt idx="2">
                  <c:v>23.988439306358284</c:v>
                </c:pt>
                <c:pt idx="3">
                  <c:v>14.739884393063583</c:v>
                </c:pt>
                <c:pt idx="4">
                  <c:v>14.739884393063583</c:v>
                </c:pt>
                <c:pt idx="5">
                  <c:v>9.8265895953757543</c:v>
                </c:pt>
                <c:pt idx="6">
                  <c:v>2.0231213872832412</c:v>
                </c:pt>
                <c:pt idx="7">
                  <c:v>56.069364161849705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2.7859358489279978E-2"/>
                  <c:y val="4.0317039577973592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8.372004635784229E-2"/>
                  <c:y val="-5.8422598165328403E-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Лист1!$C$146:$C$148</c:f>
              <c:strCache>
                <c:ptCount val="3"/>
                <c:pt idx="0">
                  <c:v>1 тиждень</c:v>
                </c:pt>
                <c:pt idx="1">
                  <c:v>2-3 тижні</c:v>
                </c:pt>
                <c:pt idx="2">
                  <c:v>3-4 тижні</c:v>
                </c:pt>
              </c:strCache>
            </c:strRef>
          </c:cat>
          <c:val>
            <c:numRef>
              <c:f>Лист1!$F$146:$F$148</c:f>
              <c:numCache>
                <c:formatCode>0.00</c:formatCode>
                <c:ptCount val="3"/>
                <c:pt idx="0">
                  <c:v>39.306358381502889</c:v>
                </c:pt>
                <c:pt idx="1">
                  <c:v>46.820809248555015</c:v>
                </c:pt>
                <c:pt idx="2">
                  <c:v>13.872832369942243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2.5307331633050819E-2"/>
                  <c:y val="-0.26804935841353023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1.1940735130880963E-2"/>
                  <c:y val="-7.5919728783902019E-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Лист1!$C$144:$C$147</c:f>
              <c:strCache>
                <c:ptCount val="4"/>
                <c:pt idx="0">
                  <c:v>300-500 грн./добу</c:v>
                </c:pt>
                <c:pt idx="1">
                  <c:v>500-700 грн./добу</c:v>
                </c:pt>
                <c:pt idx="2">
                  <c:v>700-900 грн./добу</c:v>
                </c:pt>
                <c:pt idx="3">
                  <c:v>більше 900 грн./добу</c:v>
                </c:pt>
              </c:strCache>
            </c:strRef>
          </c:cat>
          <c:val>
            <c:numRef>
              <c:f>Лист1!$F$144:$F$147</c:f>
              <c:numCache>
                <c:formatCode>0.00</c:formatCode>
                <c:ptCount val="4"/>
                <c:pt idx="0">
                  <c:v>58.959537572254249</c:v>
                </c:pt>
                <c:pt idx="1">
                  <c:v>23.121387283236992</c:v>
                </c:pt>
                <c:pt idx="2">
                  <c:v>10.982658959537572</c:v>
                </c:pt>
                <c:pt idx="3">
                  <c:v>6.9364161849711152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2013-08-08T12:15:00Z</dcterms:created>
  <dcterms:modified xsi:type="dcterms:W3CDTF">2013-08-08T12:15:00Z</dcterms:modified>
</cp:coreProperties>
</file>