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73B" w:rsidRPr="00C8397D" w:rsidRDefault="004C473B" w:rsidP="004C473B">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3.2.1.5. Ринок житлової нерухомості м. Києва</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Нижче викладені ключові фактори, тенденції і прогнози попиту, пропозиції та інші показники житлового сектора нерухомості.</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Пропозиція</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кінець березня 2012 року, загальний існуючий житловий фонд в Києві склав близько 60,6 мільйонів кв. м, що складає 5,6% від загального житлового фонду в Україні.</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В кінці першого кварталу 2012 року житловий фонд на душу населення склав </w:t>
      </w:r>
      <w:smartTag w:uri="urn:schemas-microsoft-com:office:smarttags" w:element="metricconverter">
        <w:smartTagPr>
          <w:attr w:name="ProductID" w:val="21,7 кв. м"/>
        </w:smartTagPr>
        <w:r w:rsidRPr="00C8397D">
          <w:rPr>
            <w:rFonts w:ascii="Times New Roman" w:hAnsi="Times New Roman"/>
            <w:sz w:val="28"/>
            <w:szCs w:val="28"/>
            <w:lang w:val="ru-RU"/>
          </w:rPr>
          <w:t>21,7 кв. м</w:t>
        </w:r>
      </w:smartTag>
      <w:r w:rsidRPr="00C8397D">
        <w:rPr>
          <w:rFonts w:ascii="Times New Roman" w:hAnsi="Times New Roman"/>
          <w:sz w:val="28"/>
          <w:szCs w:val="28"/>
          <w:lang w:val="ru-RU"/>
        </w:rPr>
        <w:t xml:space="preserve"> (якщо брати до уваги офіційну кількість населення міста близько 2,8 млн. чоловік). Відповідно до діючого чинного Генерального плану розвитку Києва до 2020 року, житловий фонд на душу населення в Києві повинен був збільшитися до 35 кв. Таким чином, для досягнення мети у місті треба встановити додаткові 37000000 квадратних метрів житлової площі. Наведений вище показник базується на основі офіційних даних загальної чисельності населення в Києві,яка становить близько 2,8 мільйона, у той час як відповідно багатьом експертам реальний показник населення становить близько 4 мільйонів жителів, таким чином при інших рівних умовах збільшуючи потребу в житловій площі в місті.</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На ринку житлової нерухомості в Києві, а також новій щорічній поставці в сектор, домінують багатоквартирні житлові комплекси, на частку яких припадає близько 71% нових житлових будівель в місті в першому кварталі 2012 року.</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Слід зазначити, що в період 2009-2011 років, частка однокімнатних квартир у загальному обсязі нової житлової нерухомості збільшилася з 31% в 2009 році до 35% в 2011 році. Цей показник відображає попит на цю категорію нерухомості.</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На первинному ринку житлової нерухомості в Києві, квартири, як правило, поставляються без обробки. За рідкісним винятком нещодавно був побудований багатоквартирний житловий комплекс економ-класу "Паркові Озера" від українського розробника Інтергал-Буд, який був повністю </w:t>
      </w:r>
      <w:r w:rsidRPr="00C8397D">
        <w:rPr>
          <w:rFonts w:ascii="Times New Roman" w:hAnsi="Times New Roman"/>
          <w:sz w:val="28"/>
          <w:szCs w:val="28"/>
          <w:lang w:val="ru-RU"/>
        </w:rPr>
        <w:lastRenderedPageBreak/>
        <w:t>обладнаний встановленою кухнею, а також житлові комплекси середнього рівня доходів "Парк авеню" ізраїльської компанії "Seven Hills" і "River Stone " української компанії KAN Development, які були готові до остаточного облаштування.</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За даними Державного Комітету Статистики, в січні-березні 2012 року середній розмір квартир, побудованих в цей період у Києві склав 86 квадратних метрів. Згідно з чинним Генеральним планом розвитку Києва до 2020 року, нинішній середній розмір квартир, який становить </w:t>
      </w:r>
      <w:smartTag w:uri="urn:schemas-microsoft-com:office:smarttags" w:element="metricconverter">
        <w:smartTagPr>
          <w:attr w:name="ProductID" w:val="51 кв. м"/>
        </w:smartTagPr>
        <w:r w:rsidRPr="00C8397D">
          <w:rPr>
            <w:rFonts w:ascii="Times New Roman" w:hAnsi="Times New Roman"/>
            <w:sz w:val="28"/>
            <w:szCs w:val="28"/>
            <w:lang w:val="ru-RU"/>
          </w:rPr>
          <w:t>51 кв. м</w:t>
        </w:r>
      </w:smartTag>
      <w:r w:rsidRPr="00C8397D">
        <w:rPr>
          <w:rFonts w:ascii="Times New Roman" w:hAnsi="Times New Roman"/>
          <w:sz w:val="28"/>
          <w:szCs w:val="28"/>
          <w:lang w:val="ru-RU"/>
        </w:rPr>
        <w:t xml:space="preserve">, буде збільшений до </w:t>
      </w:r>
      <w:smartTag w:uri="urn:schemas-microsoft-com:office:smarttags" w:element="metricconverter">
        <w:smartTagPr>
          <w:attr w:name="ProductID" w:val="62 кв. м"/>
        </w:smartTagPr>
        <w:r w:rsidRPr="00C8397D">
          <w:rPr>
            <w:rFonts w:ascii="Times New Roman" w:hAnsi="Times New Roman"/>
            <w:sz w:val="28"/>
            <w:szCs w:val="28"/>
            <w:lang w:val="ru-RU"/>
          </w:rPr>
          <w:t>62 кв. м</w:t>
        </w:r>
      </w:smartTag>
      <w:r w:rsidRPr="00C8397D">
        <w:rPr>
          <w:rFonts w:ascii="Times New Roman" w:hAnsi="Times New Roman"/>
          <w:sz w:val="28"/>
          <w:szCs w:val="28"/>
          <w:lang w:val="ru-RU"/>
        </w:rPr>
        <w:t>.</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Питання про житло в Києві та його якість було додатково виділено в проекті Генерального плану розвитку міста Києва до 2025 року. Згідно з цим документом, однією з основних проблем розвитку міста Києва є диспропорція між місцем проживання і роботою мешканців міста. Іншими міськими проблемами і тенденціями розвитку, що відносяться до подальшого покращення житлової нерухомості в Києві, які були зареєстровані в період 2002-2010 років і підкреслені в проекті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Генерального плану розвитку міста Києва до 2025 року зокрема є:</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a) Загальний житловий фонд в Києві склав 60 мільйонів квадратних метрів, а загальний житловий фонд на душу населення в місті досяг лише </w:t>
      </w:r>
      <w:smartTag w:uri="urn:schemas-microsoft-com:office:smarttags" w:element="metricconverter">
        <w:smartTagPr>
          <w:attr w:name="ProductID" w:val="21,7 кв. м"/>
        </w:smartTagPr>
        <w:r w:rsidRPr="00C8397D">
          <w:rPr>
            <w:rFonts w:ascii="Times New Roman" w:hAnsi="Times New Roman"/>
            <w:sz w:val="28"/>
            <w:szCs w:val="28"/>
            <w:lang w:val="ru-RU"/>
          </w:rPr>
          <w:t>21,7 кв. м</w:t>
        </w:r>
      </w:smartTag>
      <w:r w:rsidRPr="00C8397D">
        <w:rPr>
          <w:rFonts w:ascii="Times New Roman" w:hAnsi="Times New Roman"/>
          <w:sz w:val="28"/>
          <w:szCs w:val="28"/>
          <w:lang w:val="ru-RU"/>
        </w:rPr>
        <w:t>.</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b) Рівень надання соціальних послуг вважається дуже низьким, особливо у віддалених житлових районах на правому та лівому берегах Дніпра в Києві.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c) Обсяг зелених насаджень загального користування в Києві складає до </w:t>
      </w:r>
      <w:smartTag w:uri="urn:schemas-microsoft-com:office:smarttags" w:element="metricconverter">
        <w:smartTagPr>
          <w:attr w:name="ProductID" w:val="14,4 кв. м"/>
        </w:smartTagPr>
        <w:r w:rsidRPr="00C8397D">
          <w:rPr>
            <w:rFonts w:ascii="Times New Roman" w:hAnsi="Times New Roman"/>
            <w:sz w:val="28"/>
            <w:szCs w:val="28"/>
            <w:lang w:val="ru-RU"/>
          </w:rPr>
          <w:t>14,4 кв. м</w:t>
        </w:r>
      </w:smartTag>
      <w:r w:rsidRPr="00C8397D">
        <w:rPr>
          <w:rFonts w:ascii="Times New Roman" w:hAnsi="Times New Roman"/>
          <w:sz w:val="28"/>
          <w:szCs w:val="28"/>
          <w:lang w:val="ru-RU"/>
        </w:rPr>
        <w:t xml:space="preserve"> на душу населення порівняно з необхідними </w:t>
      </w:r>
      <w:smartTag w:uri="urn:schemas-microsoft-com:office:smarttags" w:element="metricconverter">
        <w:smartTagPr>
          <w:attr w:name="ProductID" w:val="20 кв. м"/>
        </w:smartTagPr>
        <w:r w:rsidRPr="00C8397D">
          <w:rPr>
            <w:rFonts w:ascii="Times New Roman" w:hAnsi="Times New Roman"/>
            <w:sz w:val="28"/>
            <w:szCs w:val="28"/>
            <w:lang w:val="ru-RU"/>
          </w:rPr>
          <w:t>20 кв. м</w:t>
        </w:r>
      </w:smartTag>
      <w:r w:rsidRPr="00C8397D">
        <w:rPr>
          <w:rFonts w:ascii="Times New Roman" w:hAnsi="Times New Roman"/>
          <w:sz w:val="28"/>
          <w:szCs w:val="28"/>
          <w:lang w:val="ru-RU"/>
        </w:rPr>
        <w:t xml:space="preserve"> на душу населення.</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d) Загальний запас і нова пропозиція недорогих житлових приміщень у Києві не відповідають реальним потребам міста.</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У квітні 2012 року Кабінет Міністрів України прийняв програму "Доступне житло", згідно за якою певна група населення має право на </w:t>
      </w:r>
      <w:r w:rsidRPr="00C8397D">
        <w:rPr>
          <w:rFonts w:ascii="Times New Roman" w:hAnsi="Times New Roman"/>
          <w:sz w:val="28"/>
          <w:szCs w:val="28"/>
          <w:lang w:val="ru-RU"/>
        </w:rPr>
        <w:lastRenderedPageBreak/>
        <w:t xml:space="preserve">іпотечні кредити під 3% річних. Нормативна площа квартири в рамках програми не повинна перевищувати </w:t>
      </w:r>
      <w:smartTag w:uri="urn:schemas-microsoft-com:office:smarttags" w:element="metricconverter">
        <w:smartTagPr>
          <w:attr w:name="ProductID" w:val="58 кв. м"/>
        </w:smartTagPr>
        <w:r w:rsidRPr="00C8397D">
          <w:rPr>
            <w:rFonts w:ascii="Times New Roman" w:hAnsi="Times New Roman"/>
            <w:sz w:val="28"/>
            <w:szCs w:val="28"/>
            <w:lang w:val="ru-RU"/>
          </w:rPr>
          <w:t>58 кв. м</w:t>
        </w:r>
      </w:smartTag>
      <w:r w:rsidRPr="00C8397D">
        <w:rPr>
          <w:rFonts w:ascii="Times New Roman" w:hAnsi="Times New Roman"/>
          <w:sz w:val="28"/>
          <w:szCs w:val="28"/>
          <w:lang w:val="ru-RU"/>
        </w:rPr>
        <w:t>, у той час як нормативна, максимальна ціна на житло у Києві складає 7000 грн за кВ. м (еквівалент $886).</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Попит</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Будучи столицею України, а також економічним і політичним центром, Київ приваблює заможних людей і молодих фахівців, які утворюють стійкий, але іноді уповільнений попит на якісне житло у місті. Однак дійсний попит на квартири не може бути оціненим правильно у зв'язку з відсутністю державного реєстру фактичних продажів в Україні.</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Потенційні покупці квартир в Києві на даний час вкрай обережно і вибірково ставляться щодо співвідношення ціни і рівня якості. У той час як в 2004-2007 роках більшість квартир, які продавались без обробки, були бумом і мали спекулятивний характер на ринку житлової нерухомості, сьогодні покупці дуже обережні і вважають за краще купувати житло або на вторинному ринку або на більш пізній стадії будівництва. Як засвідчено, з 2011 року житлові забудовники у Києві поступово приходять в довіру, і все більше людей готові купити квартиру до введення в експлуатацію багатоквартирного житлового комплексу, якщо розробник є відомою компанією і має перевірену репутацію.</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Багато людей в Києві як і раніше вважають за краще вкладати свої фінансові заощадження в житлову нерухомість через бажання стати власником квартири, коливання курсу валют, відсутність довіри до банківської системи, а також загальну економічну і політичну невизначеності в країні.</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Середня кількість людей в одній сім’ї в Києві складає 2,56 і 2,57 осіб у 2009 і 2010 роках відповідно.</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 українських родинах столиці кількість сімей, які складаються з 1, 2, 3 і 4 і більше осіб майже однакова, і це означає, що попит повинен існувати на всі категорії квартир за кількістю кімнат.</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lastRenderedPageBreak/>
        <w:t>Ціни</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Історично склалося, що до кінця 2007 року ціни на житло, як на первинному так і вторинному ринку в Києві постійно збільшувались. Протягом перших дев'яти місяців 2008 року рівень цін на різні типии житлової власності залишалися в цілому стабільним, в той час як в четвертому кварталі в результаті посилення економічної кризи активність будівництва в секторі сповільнився і зменшився попит.</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З кінця 2008 року стало очевидно, що купівельна спроможність на ринку житлової нерухомості значно послабилася у зв'язку з економічною кризою, а також як результат введення комерційними банками збільшених ставок та більш жорстких умов по іпотечним кредитам по всіх доступних валютах. У четвертому кварталі 2008 року ставки за іпотечними кредитами склали близько 20-30% в гривні і 14-20% в доларах США і євро. Спекулятивні покупки житлових приміщень, поширені в 2004-2007 роках, майже припинилися.</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У 2009 році негативні тенденції, викликані світовою кризою, продовжували впливати на ринок житлової нерухомості Києва. Більшість іпотечних програм було припинено, і попит на житло знижувався далі. З березня 2009 року комерційні банки перестали надавати іпотечні кредити на первинному і вторинному житловому ринку нерухомості. В 2009 році ринок житлової нерухомості у Києві повністю перетворився з ринку «продавця» на ринок «покупця», більшість покупців зайняла «вичікувальну" позицію, сподіваючись на подальше зниження цін. Це привело до невеликого обсягу угод купівлі-продажу житлової нерухомості. Загалом протягом 2009 року запропоновані ціни на житлову нерухомість на вторинному ринку знизилися приблизно 50% в річному численні в еквіваленті долара США.</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Ознаки економічної стабілізації в Україні в першому півріччі 2010 року і відсутність коливань обмінного курсу призвели до незначного відродження ринку і збільшення кількості переглядів квартир. Однак, загальна невизначеність на ринку і незначне банківське кредитування у 2010 </w:t>
      </w:r>
      <w:r w:rsidRPr="00C8397D">
        <w:rPr>
          <w:rFonts w:ascii="Times New Roman" w:hAnsi="Times New Roman"/>
          <w:sz w:val="28"/>
          <w:szCs w:val="28"/>
          <w:lang w:val="ru-RU"/>
        </w:rPr>
        <w:lastRenderedPageBreak/>
        <w:t>році призвело до подальшого зниження цін на житлову нерухомість.</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Ринок житлової нерухомості в Києві в цілому продемонстрував позитивну динаміку протягом 2011 року та в першій половині 2012 року. У той же час, попит на житлову площу в Києві, а також середні ціни на різні категорії квартир в місті в цілому залишилися стабільними протягом цього періоду.</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У центральній частині Києва кілька житлових районів, таких як Липки і площа поруч з Хрещатиком, звичайно розглядалися як більш престижні і зручні ніж інші, і, таким чином, житлові будівлі (як на первинному так і вторинному ринках), розташовані там, як правило, більш дорожчі, ніж в інших житлових кварталах міста.</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Прогноз</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Подальший розвиток ринку житлової нерухомості в Києві і Україні в цілому важко передбачити в першу чергу через відсутність чітких показників попиту і кількості угод купівлі-продажу в цьому секторі, а також через загальну економічну невизначеність. Однак, очевидно, що ринок житлової нерухомості в Києві залишається ненасиченим, як з точки зору загального обсягу приміщень, їх якості і різноманітності формату, а також через відкладений попит, нереалізований через відсутність кредитного фінансування і до цих пір високі ціни в порівнянні з середніми доходами населення.</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Існує експертна думка, що, як тільки банки почнуть надавати більш доступні кредити, багато хто з позичальників, досить імовірно, зроблять рішення про покупку квартири, особливо у сегменті ринку низького і середнього рівня доходу. На ринку житлової нерухомості в Києві є багато можливостей будівництва доступного житла, а також якісного житла середнього рівня доходу з усіма зручностями та ефективною прибудинковою територією.</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У минулому в період 2001-2008 років щорічна пропозиція на ринку житлової нерухомості в Києві складала від 1 до 1,4 млн. м. кв. У зв'язку з </w:t>
      </w:r>
      <w:r w:rsidRPr="00C8397D">
        <w:rPr>
          <w:rFonts w:ascii="Times New Roman" w:hAnsi="Times New Roman"/>
          <w:sz w:val="28"/>
          <w:szCs w:val="28"/>
          <w:lang w:val="ru-RU"/>
        </w:rPr>
        <w:lastRenderedPageBreak/>
        <w:t>фінансовою кризою в секторі було зафіксовано зниження річної пропозиції, яка склала до 950 тис. квадратних метрів у 2009 році і більше 1 млн. кв. м в 2010 році. За прогнозами цей показник у 2012-2020 у Києві буде не менше 900 тис. кв. м, варіюючись від 900 тис. до 1 500 тис. кв. м в рік.</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Станом на липень 2012 року, компанія DTZ передбачає, що середні ціни на квартири в Києві збільшаться на 2-3% в річному обчисленні в 2012 році, трохи перевищуючи темпи економічного зростання в Україні. З початку 2013 року ми очікуємо деяке зміцнення висхідної динаміки з щорічним зростанням цін на 3-5% щороку протягом 2013-2016 рр.. Ці прогнози також залежать від глобальних і локальних економічних умов, а також коливання курсу гривні щодо іноземної валюти.</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Загальний огляд</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кінці першого кварталу 2012 року загальний існуючий житловий фонд в Києві склав близько 60,6 мільйонів кв. м, збільшившись на 1,5% в річному численні і склавши 5,6% від загального житлового фонду в Україні.</w:t>
      </w:r>
    </w:p>
    <w:p w:rsidR="004C473B" w:rsidRPr="00C8397D" w:rsidRDefault="004C473B" w:rsidP="004C473B">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494662EA" wp14:editId="2C4D74AA">
            <wp:extent cx="3657600" cy="23444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a:extLst>
                        <a:ext uri="{28A0092B-C50C-407E-A947-70E740481C1C}">
                          <a14:useLocalDpi xmlns:a14="http://schemas.microsoft.com/office/drawing/2010/main" val="0"/>
                        </a:ext>
                      </a:extLst>
                    </a:blip>
                    <a:srcRect l="9691" t="20877" r="67262" b="52835"/>
                    <a:stretch>
                      <a:fillRect/>
                    </a:stretch>
                  </pic:blipFill>
                  <pic:spPr bwMode="auto">
                    <a:xfrm>
                      <a:off x="0" y="0"/>
                      <a:ext cx="3657600" cy="2344420"/>
                    </a:xfrm>
                    <a:prstGeom prst="rect">
                      <a:avLst/>
                    </a:prstGeom>
                    <a:noFill/>
                    <a:ln>
                      <a:noFill/>
                    </a:ln>
                  </pic:spPr>
                </pic:pic>
              </a:graphicData>
            </a:graphic>
          </wp:inline>
        </w:drawing>
      </w:r>
    </w:p>
    <w:p w:rsidR="004C473B" w:rsidRPr="00C8397D" w:rsidRDefault="004C473B" w:rsidP="004C473B">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4.3.5.1 - Весь житловий фонд та нова щорічна пропозиція у Києві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ринку житлової нерухомості в Києві, а також в новій щорічній пропозиції домінують багатоквартирні житлові комплекси.</w:t>
      </w:r>
    </w:p>
    <w:p w:rsidR="004C473B" w:rsidRPr="00C8397D" w:rsidRDefault="004C473B" w:rsidP="004C473B">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32816670" wp14:editId="2943B7DF">
            <wp:extent cx="3550285" cy="2286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l="9691" t="40401" r="67473" b="33440"/>
                    <a:stretch>
                      <a:fillRect/>
                    </a:stretch>
                  </pic:blipFill>
                  <pic:spPr bwMode="auto">
                    <a:xfrm>
                      <a:off x="0" y="0"/>
                      <a:ext cx="3550285" cy="2286000"/>
                    </a:xfrm>
                    <a:prstGeom prst="rect">
                      <a:avLst/>
                    </a:prstGeom>
                    <a:noFill/>
                    <a:ln>
                      <a:noFill/>
                    </a:ln>
                  </pic:spPr>
                </pic:pic>
              </a:graphicData>
            </a:graphic>
          </wp:inline>
        </w:drawing>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Рисунок 4.3.5.2 - Нові щорічний приріст житлового фонду в Києві за типами будівель</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Найвища будівельна активність в секторі житлової нерухомості в Києві була зафіксована в 2007-2008 роках, яка була підтримана жвавим ростом цін на житлову нерухомість. У 2009 році на піку економічної та фінансової кризи загальна річна пропозиція на ринку знизилася на 33,7% в порівнянні з 2008 роком, що відображає значне зниження будівельної активності в секторі. Тим не менш, ринок житла продемонстрував повільне відновлення в 2010 році, на рівні 6,8% в порівнянні з низькими обсягами, зареєстрованими в 2009 році.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Обсяг нової пропозиції на ринку житла у Києві в 2011 році склав близько 1,5 млн. кв. м, збільшившись майже на 50% в порівнянні з 2010 роком. У 2011 році загальний обсяг нових житлових будівель в українській столиці склав близько 16% від загального числа нових щорічних поставок у країні.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першому кварталі 2012 року загальний обсяг нової житлової нерухомості в Києві становив </w:t>
      </w:r>
      <w:smartTag w:uri="urn:schemas-microsoft-com:office:smarttags" w:element="metricconverter">
        <w:smartTagPr>
          <w:attr w:name="ProductID" w:val="178 000 кв. м"/>
        </w:smartTagPr>
        <w:r w:rsidRPr="00C8397D">
          <w:rPr>
            <w:rFonts w:ascii="Times New Roman" w:hAnsi="Times New Roman"/>
            <w:sz w:val="28"/>
            <w:szCs w:val="28"/>
            <w:lang w:val="ru-RU"/>
          </w:rPr>
          <w:t>178 000 кв. м</w:t>
        </w:r>
      </w:smartTag>
      <w:r w:rsidRPr="00C8397D">
        <w:rPr>
          <w:rFonts w:ascii="Times New Roman" w:hAnsi="Times New Roman"/>
          <w:sz w:val="28"/>
          <w:szCs w:val="28"/>
          <w:lang w:val="ru-RU"/>
        </w:rPr>
        <w:t>, складаючись з 157 осель, і збільшився на 14,8% в порівнянні з аналогічним періодом минулого року.</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Майже 53% нового житлового фонду в січні-березні 2012 року був побудований у Дарницькому адміністративному окрузі, на лівому березі річки Дніпро.</w:t>
      </w:r>
    </w:p>
    <w:p w:rsidR="004C473B" w:rsidRPr="00C8397D" w:rsidRDefault="004C473B" w:rsidP="004C473B">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25F1B00B" wp14:editId="43FB5B28">
            <wp:extent cx="3122295" cy="2402840"/>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l="9712" t="27548" r="65875" b="39037"/>
                    <a:stretch>
                      <a:fillRect/>
                    </a:stretch>
                  </pic:blipFill>
                  <pic:spPr bwMode="auto">
                    <a:xfrm>
                      <a:off x="0" y="0"/>
                      <a:ext cx="3122295" cy="2402840"/>
                    </a:xfrm>
                    <a:prstGeom prst="rect">
                      <a:avLst/>
                    </a:prstGeom>
                    <a:noFill/>
                    <a:ln>
                      <a:noFill/>
                    </a:ln>
                  </pic:spPr>
                </pic:pic>
              </a:graphicData>
            </a:graphic>
          </wp:inline>
        </w:drawing>
      </w:r>
    </w:p>
    <w:p w:rsidR="004C473B" w:rsidRPr="00C8397D" w:rsidRDefault="004C473B" w:rsidP="004C473B">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4.3.5.3 - Обсяг нової пропозиції на ринку житла у Києві, по адміністративних районах</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Слід зазначити, що в період 2009-2011 років, частка однокімнатних квартир у загальному обсязі нових житлових приміщень збільшилася з 31% в 2009 році до 35% в 2011 році. Цей показник відображає попит на цю категорію житла.</w:t>
      </w:r>
    </w:p>
    <w:p w:rsidR="004C473B" w:rsidRPr="00C8397D" w:rsidRDefault="004C473B" w:rsidP="004C473B">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1CE4DA1C" wp14:editId="12903014">
            <wp:extent cx="4464685" cy="1371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l="5919" t="30072" r="55634" b="48972"/>
                    <a:stretch>
                      <a:fillRect/>
                    </a:stretch>
                  </pic:blipFill>
                  <pic:spPr bwMode="auto">
                    <a:xfrm>
                      <a:off x="0" y="0"/>
                      <a:ext cx="4464685" cy="1371600"/>
                    </a:xfrm>
                    <a:prstGeom prst="rect">
                      <a:avLst/>
                    </a:prstGeom>
                    <a:noFill/>
                    <a:ln>
                      <a:noFill/>
                    </a:ln>
                  </pic:spPr>
                </pic:pic>
              </a:graphicData>
            </a:graphic>
          </wp:inline>
        </w:drawing>
      </w:r>
    </w:p>
    <w:p w:rsidR="004C473B" w:rsidRPr="00C8397D" w:rsidRDefault="004C473B" w:rsidP="004C473B">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4.3.5.4 - Нові житлові приміщення за кількістю кімнат у Києві, , 2009-2011</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 даними Державного комітету статистики, в січні-березні 2012 середній розмір квартир побудованих в цей період склав 86 квадратних метрів. Серед нових житлових приміщень переважали 2-кімнатні квартири (близько 36% від загального числа квартир), в той час як 1-кімнатні та 3-кімнатні квартири склали близько 29% і 27% відповідно.</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 первинному ринку житлової нерухомості в Києві, квартири, як правило, пропонуються без обробки. Винятком являється нещодавно побудований багатоквартирний житловий комплекс економ-класу «Паркові Озера», в якому квартири пропонуються з ремонтом та встановленою </w:t>
      </w:r>
      <w:r w:rsidRPr="00C8397D">
        <w:rPr>
          <w:rFonts w:ascii="Times New Roman" w:hAnsi="Times New Roman"/>
          <w:sz w:val="28"/>
          <w:szCs w:val="28"/>
          <w:lang w:val="ru-RU"/>
        </w:rPr>
        <w:lastRenderedPageBreak/>
        <w:t>кухнею. Девелопером проекту виступає українська компанія «Інтеграл-Буд». Іншими проектами житлових комплексів у середній ціновій категорії, де забудовник пропонує квартири на високому рівні готовності є жилий комплекс Park Avenue ізраїльської компанії Seven Hills, та жилий комплекс River Stone української компанії KAN Development.</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Згідно з чинним Генеральним планом розвитку Києва до 2020 року, середній розмір квартири в столиці планується збільшити з </w:t>
      </w:r>
      <w:smartTag w:uri="urn:schemas-microsoft-com:office:smarttags" w:element="metricconverter">
        <w:smartTagPr>
          <w:attr w:name="ProductID" w:val="51 кв. м"/>
        </w:smartTagPr>
        <w:r w:rsidRPr="00C8397D">
          <w:rPr>
            <w:rFonts w:ascii="Times New Roman" w:hAnsi="Times New Roman"/>
            <w:sz w:val="28"/>
            <w:szCs w:val="28"/>
            <w:lang w:val="ru-RU"/>
          </w:rPr>
          <w:t>51 кв. м</w:t>
        </w:r>
      </w:smartTag>
      <w:r w:rsidRPr="00C8397D">
        <w:rPr>
          <w:rFonts w:ascii="Times New Roman" w:hAnsi="Times New Roman"/>
          <w:sz w:val="28"/>
          <w:szCs w:val="28"/>
          <w:lang w:val="ru-RU"/>
        </w:rPr>
        <w:t xml:space="preserve"> до </w:t>
      </w:r>
      <w:smartTag w:uri="urn:schemas-microsoft-com:office:smarttags" w:element="metricconverter">
        <w:smartTagPr>
          <w:attr w:name="ProductID" w:val="62 кв. м"/>
        </w:smartTagPr>
        <w:r w:rsidRPr="00C8397D">
          <w:rPr>
            <w:rFonts w:ascii="Times New Roman" w:hAnsi="Times New Roman"/>
            <w:sz w:val="28"/>
            <w:szCs w:val="28"/>
            <w:lang w:val="ru-RU"/>
          </w:rPr>
          <w:t>62 кв. м</w:t>
        </w:r>
      </w:smartTag>
      <w:r w:rsidRPr="00C8397D">
        <w:rPr>
          <w:rFonts w:ascii="Times New Roman" w:hAnsi="Times New Roman"/>
          <w:sz w:val="28"/>
          <w:szCs w:val="28"/>
          <w:lang w:val="ru-RU"/>
        </w:rPr>
        <w:t xml:space="preserve">. Дана ціль відображає показник зареєстрований в інших столицях Центральної та східної Європи. Наприклад, середній зареєстрований розмір звичайного житла у Варшаві становить </w:t>
      </w:r>
      <w:smartTag w:uri="urn:schemas-microsoft-com:office:smarttags" w:element="metricconverter">
        <w:smartTagPr>
          <w:attr w:name="ProductID" w:val="56,6 кв. м"/>
        </w:smartTagPr>
        <w:r w:rsidRPr="00C8397D">
          <w:rPr>
            <w:rFonts w:ascii="Times New Roman" w:hAnsi="Times New Roman"/>
            <w:sz w:val="28"/>
            <w:szCs w:val="28"/>
            <w:lang w:val="ru-RU"/>
          </w:rPr>
          <w:t>56,6 кв. м</w:t>
        </w:r>
      </w:smartTag>
      <w:r w:rsidRPr="00C8397D">
        <w:rPr>
          <w:rFonts w:ascii="Times New Roman" w:hAnsi="Times New Roman"/>
          <w:sz w:val="28"/>
          <w:szCs w:val="28"/>
          <w:lang w:val="ru-RU"/>
        </w:rPr>
        <w:t xml:space="preserve">, а в Будапешті цей показник становить </w:t>
      </w:r>
      <w:smartTag w:uri="urn:schemas-microsoft-com:office:smarttags" w:element="metricconverter">
        <w:smartTagPr>
          <w:attr w:name="ProductID" w:val="67 кв. м"/>
        </w:smartTagPr>
        <w:r w:rsidRPr="00C8397D">
          <w:rPr>
            <w:rFonts w:ascii="Times New Roman" w:hAnsi="Times New Roman"/>
            <w:sz w:val="28"/>
            <w:szCs w:val="28"/>
            <w:lang w:val="ru-RU"/>
          </w:rPr>
          <w:t>67 кв. м</w:t>
        </w:r>
      </w:smartTag>
      <w:r w:rsidRPr="00C8397D">
        <w:rPr>
          <w:rFonts w:ascii="Times New Roman" w:hAnsi="Times New Roman"/>
          <w:sz w:val="28"/>
          <w:szCs w:val="28"/>
          <w:lang w:val="ru-RU"/>
        </w:rPr>
        <w:t>.</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За той же період часу, житловий фонд на душу населення в Києві повинен збільшитися до </w:t>
      </w:r>
      <w:smartTag w:uri="urn:schemas-microsoft-com:office:smarttags" w:element="metricconverter">
        <w:smartTagPr>
          <w:attr w:name="ProductID" w:val="35 кв. м"/>
        </w:smartTagPr>
        <w:r w:rsidRPr="00C8397D">
          <w:rPr>
            <w:rFonts w:ascii="Times New Roman" w:hAnsi="Times New Roman"/>
            <w:sz w:val="28"/>
            <w:szCs w:val="28"/>
            <w:lang w:val="ru-RU"/>
          </w:rPr>
          <w:t>35 кв. м</w:t>
        </w:r>
      </w:smartTag>
      <w:r w:rsidRPr="00C8397D">
        <w:rPr>
          <w:rFonts w:ascii="Times New Roman" w:hAnsi="Times New Roman"/>
          <w:sz w:val="28"/>
          <w:szCs w:val="28"/>
          <w:lang w:val="ru-RU"/>
        </w:rPr>
        <w:t xml:space="preserve">, у той час як в кінці березня 2012 року цей показник склав </w:t>
      </w:r>
      <w:smartTag w:uri="urn:schemas-microsoft-com:office:smarttags" w:element="metricconverter">
        <w:smartTagPr>
          <w:attr w:name="ProductID" w:val="21,7 кв. м"/>
        </w:smartTagPr>
        <w:r w:rsidRPr="00C8397D">
          <w:rPr>
            <w:rFonts w:ascii="Times New Roman" w:hAnsi="Times New Roman"/>
            <w:sz w:val="28"/>
            <w:szCs w:val="28"/>
            <w:lang w:val="ru-RU"/>
          </w:rPr>
          <w:t>21,7 кв. м</w:t>
        </w:r>
      </w:smartTag>
      <w:r w:rsidRPr="00C8397D">
        <w:rPr>
          <w:rFonts w:ascii="Times New Roman" w:hAnsi="Times New Roman"/>
          <w:sz w:val="28"/>
          <w:szCs w:val="28"/>
          <w:lang w:val="ru-RU"/>
        </w:rPr>
        <w:t xml:space="preserve"> на душу населення (якщо брати до уваги офіційну кількість населення міста близько 2,8 млн. чоловік). Таким чином, для досягнення мети зазначеної у Генеральному плані розвитку міста Києва до 2020 року, додаткові 37 мільйони квадратних метрів житлової площі повинні бути побудовані у Києві. Наведений вище показник базується на основі офіційних даних загальної чисельності населення в Києві,яка становить близько 2,8 мільйона, у той час як відповідно багатьом експертам реальний показник населення у Києві становить близько 4 мільйонів жителів, таким чином при інших рівних умовах збільшуючи потребу в житловій площі в місті.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Проблема з житлом і його якістю у Києві були окремо зазначені в проекті Генерального плану розвитку міста Києва до 2025 року. Згідно з документом, однією з основних проблем розвитку у Києві є диспропорція між місцем проживання і роботою мешканців міста. Таким чином, на лівому березі Дніпра, в межах Києва живе і працює відповідно 36,2% і 19,7% від загальної чисельності населення міста, а на правому березі живе і працює відповідно 63,8% і 81,3% жителів Києва . Таким чином, щоденна міграція </w:t>
      </w:r>
      <w:r w:rsidRPr="00C8397D">
        <w:rPr>
          <w:rFonts w:ascii="Times New Roman" w:hAnsi="Times New Roman"/>
          <w:sz w:val="28"/>
          <w:szCs w:val="28"/>
          <w:lang w:val="ru-RU"/>
        </w:rPr>
        <w:lastRenderedPageBreak/>
        <w:t>жителів міста від місця проживання до місця роботи приводить до надмірного тиску на мости, магістралі і громадський транспорт.</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Інші міські проблеми і тенденції розвитку, що відносяться до подальшого розвитку ринку житлової нерухомості в Києві, які були зареєстровані в період 2002-2010 років і підкреслені в проекті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Генеральний плану розвитку міста Києва до 2025 року включає наступне:</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Загальний житловий фонд в Києві складає 60 мільйонів квадратних метрів, на той час як загальний житловий фонд на душу населення в місті досягає лише 21,7 кв.</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Рівень забезпечення соціально побутової інфраструктури вважається дуже низьким, особливо у віддалених житлових районах на правому та лівому берегах Дніпра в Києві.</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Обсяг зелених насаджень загального користування у Києві складає </w:t>
      </w:r>
      <w:smartTag w:uri="urn:schemas-microsoft-com:office:smarttags" w:element="metricconverter">
        <w:smartTagPr>
          <w:attr w:name="ProductID" w:val="14,4 кв. м"/>
        </w:smartTagPr>
        <w:r w:rsidRPr="00C8397D">
          <w:rPr>
            <w:rFonts w:ascii="Times New Roman" w:hAnsi="Times New Roman"/>
            <w:sz w:val="28"/>
            <w:szCs w:val="28"/>
            <w:lang w:val="ru-RU"/>
          </w:rPr>
          <w:t>14,4 кв. м</w:t>
        </w:r>
      </w:smartTag>
      <w:r w:rsidRPr="00C8397D">
        <w:rPr>
          <w:rFonts w:ascii="Times New Roman" w:hAnsi="Times New Roman"/>
          <w:sz w:val="28"/>
          <w:szCs w:val="28"/>
          <w:lang w:val="ru-RU"/>
        </w:rPr>
        <w:t xml:space="preserve"> на душу населення порівняно з необхідними </w:t>
      </w:r>
      <w:smartTag w:uri="urn:schemas-microsoft-com:office:smarttags" w:element="metricconverter">
        <w:smartTagPr>
          <w:attr w:name="ProductID" w:val="20 кв. м"/>
        </w:smartTagPr>
        <w:r w:rsidRPr="00C8397D">
          <w:rPr>
            <w:rFonts w:ascii="Times New Roman" w:hAnsi="Times New Roman"/>
            <w:sz w:val="28"/>
            <w:szCs w:val="28"/>
            <w:lang w:val="ru-RU"/>
          </w:rPr>
          <w:t>20 кв. м</w:t>
        </w:r>
      </w:smartTag>
      <w:r w:rsidRPr="00C8397D">
        <w:rPr>
          <w:rFonts w:ascii="Times New Roman" w:hAnsi="Times New Roman"/>
          <w:sz w:val="28"/>
          <w:szCs w:val="28"/>
          <w:lang w:val="ru-RU"/>
        </w:rPr>
        <w:t>.</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Загальний житловий фонд і нова пропозиція недорогих житлових приміщень у Києві не відповідають реальним потребам міста.</w:t>
      </w:r>
    </w:p>
    <w:p w:rsidR="004C473B" w:rsidRPr="00C8397D" w:rsidRDefault="004C473B" w:rsidP="004C473B">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Програма "Доступне житло"</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квітні 2012 року Кабінет Міністрів України прийняв програму «Доступне житло», згідно з якою певна група населення має право на іпотечні кредити під 3% річних. Відповідно до програми, термін кредиту не повинен перевищувати 10 років, а процентна ставка за заставною повинна бути нижче 16% річних, 13% з яких будуть компенсовані державою. Початковий внесок не повинен перевищувати 25% від загальної суми кредиту.</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Нормативна площа квартири в рамках програми не повинна перевищувати 58 квадратних метрів, що складає </w:t>
      </w:r>
      <w:smartTag w:uri="urn:schemas-microsoft-com:office:smarttags" w:element="metricconverter">
        <w:smartTagPr>
          <w:attr w:name="ProductID" w:val="40 кв. м"/>
        </w:smartTagPr>
        <w:r w:rsidRPr="00C8397D">
          <w:rPr>
            <w:rFonts w:ascii="Times New Roman" w:hAnsi="Times New Roman"/>
            <w:sz w:val="28"/>
            <w:szCs w:val="28"/>
            <w:lang w:val="ru-RU"/>
          </w:rPr>
          <w:t>40 кв. м</w:t>
        </w:r>
      </w:smartTag>
      <w:r w:rsidRPr="00C8397D">
        <w:rPr>
          <w:rFonts w:ascii="Times New Roman" w:hAnsi="Times New Roman"/>
          <w:sz w:val="28"/>
          <w:szCs w:val="28"/>
          <w:lang w:val="ru-RU"/>
        </w:rPr>
        <w:t xml:space="preserve"> на людину чи сім’ю з 2 чоловік, плюс </w:t>
      </w:r>
      <w:smartTag w:uri="urn:schemas-microsoft-com:office:smarttags" w:element="metricconverter">
        <w:smartTagPr>
          <w:attr w:name="ProductID" w:val="18 кв. м"/>
        </w:smartTagPr>
        <w:r w:rsidRPr="00C8397D">
          <w:rPr>
            <w:rFonts w:ascii="Times New Roman" w:hAnsi="Times New Roman"/>
            <w:sz w:val="28"/>
            <w:szCs w:val="28"/>
            <w:lang w:val="ru-RU"/>
          </w:rPr>
          <w:t>18 кв. м</w:t>
        </w:r>
      </w:smartTag>
      <w:r w:rsidRPr="00C8397D">
        <w:rPr>
          <w:rFonts w:ascii="Times New Roman" w:hAnsi="Times New Roman"/>
          <w:sz w:val="28"/>
          <w:szCs w:val="28"/>
          <w:lang w:val="ru-RU"/>
        </w:rPr>
        <w:t xml:space="preserve"> на кожного наступного члена сім'ї.</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Нормативна, максимальна ціна на житло за програмою складає для Києва 7000 грн. за кв. м (еквівалент $ 886), для Київської області - по 5000 </w:t>
      </w:r>
      <w:r w:rsidRPr="00C8397D">
        <w:rPr>
          <w:rFonts w:ascii="Times New Roman" w:hAnsi="Times New Roman"/>
          <w:sz w:val="28"/>
          <w:szCs w:val="28"/>
          <w:lang w:val="ru-RU"/>
        </w:rPr>
        <w:lastRenderedPageBreak/>
        <w:t>грн. за кв. м ($ 633), для інших населених пунктів в Україні – 4000 грн за кв. м. (еквівалент $506).</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Загальні коментарі щодо попиту на житлову нерухомість в києві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Будучи столицею України, а також економічним і політичним центром, Київ приваблює найзаможніших людей і молодих фахівців, які утворюють стійкий, але іноді відкладений попит на якісне житло в місті.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Однак дійсний попит на квартири не може бути оцінений правильно у зв'язку з відсутністю державного реєстру фактичних продажів в Україні. Це робить неможливим будь-які судження про обсяги угод на ринку житлової нерухомості, тому ми надаємо загальний огляд основних моделей попиту на квартири в Києві.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Попит на житлові квартири в місті можна розділити на такі категорії:</w:t>
      </w:r>
    </w:p>
    <w:p w:rsidR="004C473B" w:rsidRPr="00C8397D" w:rsidRDefault="004C473B" w:rsidP="004C473B">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Попит, породжений спекулятивними покупцями, які чекали подальшого зростання цін у період зростання ринку в 2005-2007 роках: цей попит був зосереджений на первинному ринку житлової нерухомості та квартирах для продажу на початковій стадії будівництва зі значними знижками на ціни. Теперішній спекулятивний попит демонструє досить випадкову тенденцію, в основному, включаючи найбільш привабливі пропозиції з "проблемними" цінами, і незалежні від пору року.</w:t>
      </w:r>
    </w:p>
    <w:p w:rsidR="004C473B" w:rsidRPr="00C8397D" w:rsidRDefault="004C473B" w:rsidP="004C473B">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Державні установи, посольства, міжнародні організації, що вимагають житловий фонд високої якості з хорошим розташуванням. Цей попит демонструє випадкову тенденцію.</w:t>
      </w:r>
    </w:p>
    <w:p w:rsidR="004C473B" w:rsidRPr="00C8397D" w:rsidRDefault="004C473B" w:rsidP="004C473B">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Молоді люди, люди середнього віку, сім’ї, які купують їх першу квартиру в Києві: попит сконцентрований як на первинному так і вторинному ринках житлової нерухомості, і залежить від доходів і статусу, зовнішньоекономічних умов та / або іпотечної доступності. Під час кризи попит на ринку в цій категорії показав випадкову тенденцію, реалізовану на пропозиції оптимальної ціні застави.</w:t>
      </w:r>
    </w:p>
    <w:p w:rsidR="004C473B" w:rsidRPr="00C8397D" w:rsidRDefault="004C473B" w:rsidP="004C473B">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 xml:space="preserve">Фізичні особи та домогосподарства, які хотіли б поліпшити своє житло: попит сконцентрований як на первинному так і вторинному ринках </w:t>
      </w:r>
      <w:r w:rsidRPr="00C8397D">
        <w:rPr>
          <w:rFonts w:ascii="Times New Roman" w:hAnsi="Times New Roman"/>
          <w:sz w:val="28"/>
          <w:szCs w:val="28"/>
          <w:lang w:val="ru-RU"/>
        </w:rPr>
        <w:lastRenderedPageBreak/>
        <w:t>житлової нерухомості, і залежить від зовнішніх економічних умов та доступності іпотеки. Під час економічного спаду попит з боку цієї категорії показав випадкову тенденцію, що охоплює найкращі пропозиції за розумними цінами.</w:t>
      </w:r>
    </w:p>
    <w:p w:rsidR="004C473B" w:rsidRPr="00C8397D" w:rsidRDefault="004C473B" w:rsidP="004C473B">
      <w:pPr>
        <w:tabs>
          <w:tab w:val="left" w:pos="90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Юридичні особи, міжнародні компанії, які купують квартири для тимчасового проживання топ-менеджерів, іноземних співробітників і членів їх сімей: ця категорія попиту в цьому секторі зосереджена на вторинному ринку житлової нерухомості і квартирах з хорошою/високою якістю обробки у реконструйованих житлових будинках XIX-XX століття . Квартири без обробки в недавно побудованих будинках рідко потрібні цій групі покупців у зв'язку з необхідністю додаткового капіталу і часових інвестицій. Попит з боку цієї категорії покупців демонструє стійку тенденцію в періоди економічної діяльності та розширення бізнесу.</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Попит на елітну житлову нерухомість вважається найменш уразливим до зовнішніх економічних та фінансових негативних факторів за рахунок низької доступності іпотеки та обмеженої нової пропозиції на цю нерухомість особливо в престижних місцях Києва. Уповільнення динаміки попиту в житловому секторі нерухомості в українській столиці стало особливо очевидним на початку 2009 року, в результаті виведення спекулятивного капіталу з ринку і відсутності потенційних покупців, які сподівались на подальше зниження цін. Це, в свою чергу, призвело до зниження цін, які впали в середньому на 30-50% в доларах США до кінця 2009 року, а також тривалому терміну експозиції квартир.</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і першій половині 2012 року попит на житло в Києві, в основному був зосереджений на невеликих (45-</w:t>
      </w:r>
      <w:smartTag w:uri="urn:schemas-microsoft-com:office:smarttags" w:element="metricconverter">
        <w:smartTagPr>
          <w:attr w:name="ProductID" w:val="60 кв. м"/>
        </w:smartTagPr>
        <w:r w:rsidRPr="00C8397D">
          <w:rPr>
            <w:rFonts w:ascii="Times New Roman" w:hAnsi="Times New Roman"/>
            <w:sz w:val="28"/>
            <w:szCs w:val="28"/>
            <w:lang w:val="ru-RU"/>
          </w:rPr>
          <w:t>60 кв. м</w:t>
        </w:r>
      </w:smartTag>
      <w:r w:rsidRPr="00C8397D">
        <w:rPr>
          <w:rFonts w:ascii="Times New Roman" w:hAnsi="Times New Roman"/>
          <w:sz w:val="28"/>
          <w:szCs w:val="28"/>
          <w:lang w:val="ru-RU"/>
        </w:rPr>
        <w:t>.), але якісних квартирах, часто в недавно побудованих житлових комплексах.</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Переважна більшість угод в секторі житлової нерухомості в Києві в даний час формується кінцевими користувачами житла м (на відміну від спекулятивного попиту, спостережуваного у до кризові часи).</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той же час, незважаючи на економічну кризу, багато людей в Україні </w:t>
      </w:r>
      <w:r w:rsidRPr="00C8397D">
        <w:rPr>
          <w:rFonts w:ascii="Times New Roman" w:hAnsi="Times New Roman"/>
          <w:sz w:val="28"/>
          <w:szCs w:val="28"/>
          <w:lang w:val="ru-RU"/>
        </w:rPr>
        <w:lastRenderedPageBreak/>
        <w:t>відають перевагу інвестиціям у житлову нерухомість зважаючи на масові вподобання володіння жилою нерухомістю над її орендою, коливання курсів валют, недовіри до банківської системи, та загальної економічної та політичної невпевненості в країні. Житлова нерухомість в Києві багатьма людьми сприймається чи як не найкращій вид інвестицій.</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Потенційні покупці квартир в Києві зараз дуже обережні та розбірливі на предмет співвідношення ціни до якості. У той час як у 2004-2007 роках більшість квартир продавалась на початковій стадії будівництва, що було показником ажіотажу у секторі і мало надзвичайно спекулятивний характер, у той час як, на даному етапі розвитку ринка жилої нерухомості, покупці є дуже обережні та вважають за краще купувати житло на вторинному ринку, або на більш пізній стадії будівництва. Причиною тому є, як і раніше, високі ціни, високі ризики затримки будівництва, а також відсутність гарантій закінчення будівництва в цілому (наприклад, справа «Еліта-Центр»).</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 2011 року була відмічена тенденція, де житлові забудовники у Києві поступово завойовують довіру, і все більше людей готові купити квартиру до введення в експлуатацію в багатоквартирних житлових комплексах, при умові, що девелопером є відома компанія з перевіреною репутацією.</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Середня кількість людей в одній сім’ї в Києві складає 2,56 та 2,57 осіб у 2009 та 2010 роках відповідно. В українській столиці, кількість сімей, які складаються з 1, 2, 3 та 4 і більше осіб майже однакова, що означає, що попит повинен існувати на всі категорії квартир за кількістю кімнат.</w:t>
      </w:r>
    </w:p>
    <w:p w:rsidR="004C473B" w:rsidRPr="00C8397D" w:rsidRDefault="004C473B" w:rsidP="004C473B">
      <w:pPr>
        <w:spacing w:after="0" w:line="360" w:lineRule="auto"/>
        <w:ind w:firstLine="709"/>
        <w:jc w:val="both"/>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409122D1" wp14:editId="1AF18492">
            <wp:extent cx="5476875" cy="148844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l="3949" t="30070" r="55634" b="50400"/>
                    <a:stretch>
                      <a:fillRect/>
                    </a:stretch>
                  </pic:blipFill>
                  <pic:spPr bwMode="auto">
                    <a:xfrm>
                      <a:off x="0" y="0"/>
                      <a:ext cx="5476875" cy="1488440"/>
                    </a:xfrm>
                    <a:prstGeom prst="rect">
                      <a:avLst/>
                    </a:prstGeom>
                    <a:noFill/>
                    <a:ln>
                      <a:noFill/>
                    </a:ln>
                  </pic:spPr>
                </pic:pic>
              </a:graphicData>
            </a:graphic>
          </wp:inline>
        </w:drawing>
      </w:r>
    </w:p>
    <w:p w:rsidR="004C473B" w:rsidRPr="00C8397D" w:rsidRDefault="004C473B" w:rsidP="004C473B">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4.3.5.5 - Середній розмір родин у Києві за кількістю осіб</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Родини з дітьми до 18 років складають більше ніж 34% від загальної кількості сімей Києва до 2010 року.</w:t>
      </w:r>
    </w:p>
    <w:p w:rsidR="004C473B" w:rsidRPr="00C8397D" w:rsidRDefault="004C473B" w:rsidP="004C473B">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3E7783F2" wp14:editId="0A0DA984">
            <wp:extent cx="3200400" cy="16440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l="3926" t="32277" r="74870" b="48314"/>
                    <a:stretch>
                      <a:fillRect/>
                    </a:stretch>
                  </pic:blipFill>
                  <pic:spPr bwMode="auto">
                    <a:xfrm>
                      <a:off x="0" y="0"/>
                      <a:ext cx="3200400" cy="1644015"/>
                    </a:xfrm>
                    <a:prstGeom prst="rect">
                      <a:avLst/>
                    </a:prstGeom>
                    <a:noFill/>
                    <a:ln>
                      <a:noFill/>
                    </a:ln>
                  </pic:spPr>
                </pic:pic>
              </a:graphicData>
            </a:graphic>
          </wp:inline>
        </w:drawing>
      </w:r>
    </w:p>
    <w:p w:rsidR="004C473B" w:rsidRPr="00C8397D" w:rsidRDefault="004C473B" w:rsidP="004C473B">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4.3.5.6 - Структура родин у Києві за наявністю дітей</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Огляд цін на багатоквартирну житлову нерухомість у києві.</w:t>
      </w:r>
    </w:p>
    <w:p w:rsidR="004C473B" w:rsidRPr="00C8397D" w:rsidRDefault="004C473B" w:rsidP="004C473B">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Загальний огляд історії динаміки цін</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Ціни на житлову нерухомість як на первинному так і вторинному ринках у Києві постійно зростали до 2007 року. Протягом перших дев'яти місяців 2008 року ціни на різні типи житлової нерухомості залишалися в цілому стабільними, в той час як в четвертому кварталі 2008 року, будівельні роботи в секторі сповільнилися і попит був ослаблений в результаті посиленої фінансової кризи.</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четвертому кварталі 2008 року, падіння цін на житло в Києві мало значний вплив на вторинний ринок жилої нерухомості, у той час як на первинному ринку зміни цін були менш серйозними, так як багато хто з розробників зайняли «вичікувальну» позицію. Вплив нових ринкових умов на девелоперов жилої нерухомості в Києві залежало від їх фінансового положення: ті, хто забезпечив фінансування навіть збільшив ціни на квартири, в той час як інші (більшість) почали пропонувати більш привабливі умови для потенційних покупців, а саме: зафіксовані ціни в гривні, ціни вказані в доларах США за курсом нижче ніж на ринку, поетапну оплату вартості житла, суттєві знижки на останніх стадіях переговорів, та інші.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 точки зору попиту на ринку, в кінці 2008 року стало очевидно, що купівельна спроможність на ринку житлової нерухомості значно ослабла у зв'язку з економічною кризою, а також як результат введення комерційними банками збільшених ставок та більш жорстких умов отримання іпотечного кредитування у всіх доступних валютах. У четвертому кварталі 2008 року </w:t>
      </w:r>
      <w:r w:rsidRPr="00C8397D">
        <w:rPr>
          <w:rFonts w:ascii="Times New Roman" w:hAnsi="Times New Roman"/>
          <w:sz w:val="28"/>
          <w:szCs w:val="28"/>
          <w:lang w:val="ru-RU"/>
        </w:rPr>
        <w:lastRenderedPageBreak/>
        <w:t>ставки за іпотечними кредитами склали близько 20-30% в гривні і 14-20% в доларах США і Євро. Крім того, комерційні банки стали дуже вибагливі щодо потенційних іпотечних позичальників, вимагаючи додаткові документи, що підтверджують їх купівельну спроможність і впроваджуючи жорсткі вимоги за віком і станом здоров'я.</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Деякі комерційні банки перестали надавати іпотечні кредити на первинному ринку житлової нерухомості, а деякі з них працювали тільки з забудовниками житлової нерухомості, з якими були в партнерстві.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Як результат спекулятивні покупки житлових приміщень, які були дуже поширені у 2004-2007 роках, з кінця 2008 року майже зникли з ринку житлової нерухомості в Києві.</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2009 році негативні тенденції, викликані світовою кризою, продовжували впливати на ринок житлової нерухомості Києва. Більшість іпотечних програм було припинено, і попит на житло знижувався далі. Забудовники змушені були переглянути свої проекти (наприклад, призупинити або продати деякі з них), а також скоротити чисельність своїх співробітників.</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березні 2009 року комерційні банки перестали надавати іпотечні кредити на первинному і вторинному ринках житлової нерухомості в Києві і Україні в цілому.</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житлової нерухомості в українській столиці повністю перетворився з «ринка продавця» на «ринок покупця» в 2009 році. Більшість потенційних покупців квартир зайняли «вичікувальну позицію» сподіваючись на подальше зниження цін, і це привело до невеликого обсягу угод купівлі-продажу на ринку житлової нерухомості в Києві. Через низький попит на квартири, середній термін експозиції квартир на вторинному ринку виріс більш ніж в двічі. Крім того, інвестиційний продаж квартир на ранній стадії будівництва був припинений майже повністю. Загалом протягом 2009 року ціни на житлову нерухомість на вторинному ринку знизилися приблизно на 50% в річному численні в долларовому еквіваленті.</w:t>
      </w:r>
    </w:p>
    <w:p w:rsidR="004C473B" w:rsidRPr="00C8397D" w:rsidRDefault="004C473B" w:rsidP="004C473B">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492CF52F" wp14:editId="5CC6E9CF">
            <wp:extent cx="3881120" cy="2694305"/>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l="2757" t="36041" r="72899" b="34019"/>
                    <a:stretch>
                      <a:fillRect/>
                    </a:stretch>
                  </pic:blipFill>
                  <pic:spPr bwMode="auto">
                    <a:xfrm>
                      <a:off x="0" y="0"/>
                      <a:ext cx="3881120" cy="2694305"/>
                    </a:xfrm>
                    <a:prstGeom prst="rect">
                      <a:avLst/>
                    </a:prstGeom>
                    <a:noFill/>
                    <a:ln>
                      <a:noFill/>
                    </a:ln>
                  </pic:spPr>
                </pic:pic>
              </a:graphicData>
            </a:graphic>
          </wp:inline>
        </w:drawing>
      </w:r>
    </w:p>
    <w:p w:rsidR="004C473B" w:rsidRPr="00C8397D" w:rsidRDefault="004C473B" w:rsidP="004C473B">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4.3.5</w:t>
      </w:r>
      <w:r w:rsidRPr="00C8397D">
        <w:rPr>
          <w:rFonts w:ascii="Times New Roman" w:hAnsi="Times New Roman"/>
          <w:sz w:val="28"/>
          <w:szCs w:val="28"/>
          <w:lang w:val="ru-RU"/>
        </w:rPr>
        <w:t>.7 - Середні ціни на квартири в Києві, за адміністративними регіонами</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ціни вказані станом на 1 січня кожного з років. охоплених дослідженням</w:t>
      </w:r>
    </w:p>
    <w:p w:rsidR="004C473B" w:rsidRPr="00C8397D" w:rsidRDefault="004C473B" w:rsidP="004C473B">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w:t>
      </w:r>
      <w:r w:rsidRPr="00C8397D">
        <w:rPr>
          <w:rFonts w:ascii="Times New Roman" w:hAnsi="Times New Roman"/>
          <w:sz w:val="28"/>
          <w:szCs w:val="28"/>
          <w:lang w:val="ru-RU"/>
        </w:rPr>
        <w:t>.5.1 - Середні ціни на квартири в Києві, за адміністративними районами, у $ за кв. 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3"/>
        <w:gridCol w:w="846"/>
        <w:gridCol w:w="846"/>
        <w:gridCol w:w="846"/>
        <w:gridCol w:w="846"/>
        <w:gridCol w:w="911"/>
        <w:gridCol w:w="911"/>
        <w:gridCol w:w="911"/>
        <w:gridCol w:w="911"/>
      </w:tblGrid>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noProof/>
                <w:color w:val="000000"/>
                <w:spacing w:val="3"/>
                <w:sz w:val="28"/>
                <w:szCs w:val="28"/>
                <w:lang w:val="uk-UA"/>
              </w:rPr>
            </w:pPr>
            <w:r w:rsidRPr="00C8397D">
              <w:rPr>
                <w:rFonts w:ascii="Times New Roman" w:hAnsi="Times New Roman"/>
                <w:noProof/>
                <w:color w:val="000000"/>
                <w:spacing w:val="3"/>
                <w:sz w:val="28"/>
                <w:szCs w:val="28"/>
                <w:lang w:val="uk-UA"/>
              </w:rPr>
              <w:t>Райони</w:t>
            </w:r>
          </w:p>
        </w:tc>
        <w:tc>
          <w:tcPr>
            <w:tcW w:w="478"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2009</w:t>
            </w:r>
          </w:p>
        </w:tc>
        <w:tc>
          <w:tcPr>
            <w:tcW w:w="454"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2010</w:t>
            </w:r>
          </w:p>
        </w:tc>
        <w:tc>
          <w:tcPr>
            <w:tcW w:w="410"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2011</w:t>
            </w:r>
          </w:p>
        </w:tc>
        <w:tc>
          <w:tcPr>
            <w:tcW w:w="412"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2012</w:t>
            </w:r>
          </w:p>
        </w:tc>
        <w:tc>
          <w:tcPr>
            <w:tcW w:w="438"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2013*</w:t>
            </w:r>
          </w:p>
        </w:tc>
        <w:tc>
          <w:tcPr>
            <w:tcW w:w="480"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2014*</w:t>
            </w:r>
          </w:p>
        </w:tc>
        <w:tc>
          <w:tcPr>
            <w:tcW w:w="484"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2015*</w:t>
            </w:r>
          </w:p>
        </w:tc>
        <w:tc>
          <w:tcPr>
            <w:tcW w:w="478"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2016*</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Дніпров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241</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061</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738</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780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816</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870</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926</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984</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043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5"/>
                <w:sz w:val="28"/>
                <w:szCs w:val="28"/>
              </w:rPr>
              <w:t>Десня</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832</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554</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489</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500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530</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576</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623</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672</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722</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2"/>
                <w:sz w:val="28"/>
                <w:szCs w:val="28"/>
              </w:rPr>
              <w:t>Дарни</w:t>
            </w:r>
            <w:r w:rsidRPr="00C8397D">
              <w:rPr>
                <w:rFonts w:ascii="Times New Roman" w:hAnsi="Times New Roman"/>
                <w:noProof/>
                <w:color w:val="000000"/>
                <w:spacing w:val="4"/>
                <w:sz w:val="28"/>
                <w:szCs w:val="28"/>
              </w:rPr>
              <w:t>цьки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684</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716</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543</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535</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566</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613</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661</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711</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762</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8"/>
                <w:sz w:val="28"/>
                <w:szCs w:val="28"/>
              </w:rPr>
              <w:t>Голос</w:t>
            </w:r>
            <w:r w:rsidRPr="00C8397D">
              <w:rPr>
                <w:rFonts w:ascii="Times New Roman" w:hAnsi="Times New Roman"/>
                <w:noProof/>
                <w:color w:val="000000"/>
                <w:spacing w:val="5"/>
                <w:sz w:val="28"/>
                <w:szCs w:val="28"/>
              </w:rPr>
              <w:t>іїв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998</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059</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591</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700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754</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837</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922</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009</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100</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Пече</w:t>
            </w:r>
            <w:r w:rsidRPr="00C8397D">
              <w:rPr>
                <w:rFonts w:ascii="Times New Roman" w:hAnsi="Times New Roman"/>
                <w:noProof/>
                <w:color w:val="000000"/>
                <w:spacing w:val="6"/>
                <w:sz w:val="28"/>
                <w:szCs w:val="28"/>
              </w:rPr>
              <w:t>рс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900</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449</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090</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100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223</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434</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656</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889</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5</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133</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Поділь</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761</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782</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120</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100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142</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206</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272</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341</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411</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Солом</w:t>
            </w:r>
            <w:r w:rsidRPr="00C8397D">
              <w:rPr>
                <w:rFonts w:ascii="Times New Roman" w:hAnsi="Times New Roman"/>
                <w:noProof/>
                <w:color w:val="000000"/>
                <w:spacing w:val="-1"/>
                <w:w w:val="94"/>
                <w:position w:val="3"/>
                <w:sz w:val="28"/>
                <w:szCs w:val="28"/>
              </w:rPr>
              <w:t>’</w:t>
            </w:r>
            <w:r w:rsidRPr="00C8397D">
              <w:rPr>
                <w:rFonts w:ascii="Times New Roman" w:hAnsi="Times New Roman"/>
                <w:noProof/>
                <w:color w:val="000000"/>
                <w:spacing w:val="6"/>
                <w:sz w:val="28"/>
                <w:szCs w:val="28"/>
              </w:rPr>
              <w:t>ян</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221</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133</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895</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900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938</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996</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056</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118</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181</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1"/>
                <w:sz w:val="28"/>
                <w:szCs w:val="28"/>
              </w:rPr>
              <w:t>Свя</w:t>
            </w:r>
            <w:r w:rsidRPr="00C8397D">
              <w:rPr>
                <w:rFonts w:ascii="Times New Roman" w:hAnsi="Times New Roman"/>
                <w:noProof/>
                <w:color w:val="000000"/>
                <w:spacing w:val="5"/>
                <w:sz w:val="28"/>
                <w:szCs w:val="28"/>
              </w:rPr>
              <w:t>т</w:t>
            </w:r>
            <w:r w:rsidRPr="00C8397D">
              <w:rPr>
                <w:rFonts w:ascii="Times New Roman" w:hAnsi="Times New Roman"/>
                <w:noProof/>
                <w:color w:val="000000"/>
                <w:sz w:val="28"/>
                <w:szCs w:val="28"/>
              </w:rPr>
              <w:t>ош</w:t>
            </w:r>
            <w:r w:rsidRPr="00C8397D">
              <w:rPr>
                <w:rFonts w:ascii="Times New Roman" w:hAnsi="Times New Roman"/>
                <w:noProof/>
                <w:color w:val="000000"/>
                <w:spacing w:val="2"/>
                <w:sz w:val="28"/>
                <w:szCs w:val="28"/>
              </w:rPr>
              <w:t>ин</w:t>
            </w:r>
            <w:r w:rsidRPr="00C8397D">
              <w:rPr>
                <w:rFonts w:ascii="Times New Roman" w:hAnsi="Times New Roman"/>
                <w:noProof/>
                <w:color w:val="000000"/>
                <w:spacing w:val="7"/>
                <w:sz w:val="28"/>
                <w:szCs w:val="28"/>
              </w:rPr>
              <w:t>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032</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015</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832</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820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856</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912</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969</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029</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089</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О</w:t>
            </w:r>
            <w:r w:rsidRPr="00C8397D">
              <w:rPr>
                <w:rFonts w:ascii="Times New Roman" w:hAnsi="Times New Roman"/>
                <w:noProof/>
                <w:color w:val="000000"/>
                <w:spacing w:val="5"/>
                <w:sz w:val="28"/>
                <w:szCs w:val="28"/>
              </w:rPr>
              <w:t>боло</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968</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786</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259</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350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397</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469</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543</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619</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698</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Шевче</w:t>
            </w:r>
            <w:r w:rsidRPr="00C8397D">
              <w:rPr>
                <w:rFonts w:ascii="Times New Roman" w:hAnsi="Times New Roman"/>
                <w:noProof/>
                <w:color w:val="000000"/>
                <w:spacing w:val="5"/>
                <w:sz w:val="28"/>
                <w:szCs w:val="28"/>
              </w:rPr>
              <w:t>нківськи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443</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311</w:t>
            </w:r>
          </w:p>
        </w:tc>
        <w:tc>
          <w:tcPr>
            <w:tcW w:w="45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897</w:t>
            </w:r>
          </w:p>
        </w:tc>
        <w:tc>
          <w:tcPr>
            <w:tcW w:w="41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000</w:t>
            </w:r>
          </w:p>
        </w:tc>
        <w:tc>
          <w:tcPr>
            <w:tcW w:w="412"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090</w:t>
            </w:r>
          </w:p>
        </w:tc>
        <w:tc>
          <w:tcPr>
            <w:tcW w:w="43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245</w:t>
            </w:r>
          </w:p>
        </w:tc>
        <w:tc>
          <w:tcPr>
            <w:tcW w:w="480"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407</w:t>
            </w:r>
          </w:p>
        </w:tc>
        <w:tc>
          <w:tcPr>
            <w:tcW w:w="484"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577</w:t>
            </w:r>
          </w:p>
        </w:tc>
        <w:tc>
          <w:tcPr>
            <w:tcW w:w="478"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3</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sz w:val="28"/>
                <w:szCs w:val="28"/>
              </w:rPr>
              <w:t>756</w:t>
            </w:r>
          </w:p>
        </w:tc>
      </w:tr>
    </w:tbl>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Всі ціни вказані станом на 1 січня кожного року дослідження</w:t>
      </w:r>
    </w:p>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Ознаки економічної стабілізації в Україні в першому півріччі 2010 року в поєднанні з відсутністю коливань обмінного курсу призвели до незначного відродження ринку і збільшення кількості переглядів квартир в Києві. Тим не менш, загальна невизначеність на ринку і незначне банківське кредитування протягом 2010 року призвело до подальшого зниження цін на житлову нерухомість в українській столиці.</w:t>
      </w:r>
    </w:p>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Деякі банки в співпраці з певними забудовниками житлової </w:t>
      </w:r>
      <w:r w:rsidRPr="00C8397D">
        <w:rPr>
          <w:rFonts w:ascii="Times New Roman" w:hAnsi="Times New Roman"/>
          <w:sz w:val="28"/>
          <w:szCs w:val="28"/>
          <w:lang w:val="ru-RU"/>
        </w:rPr>
        <w:lastRenderedPageBreak/>
        <w:t>нерухомості ввели спеціальні іпотечні програми надання кредитів покупцям своїх квартир на первинному ринку житлової нерухомості. Вони пропонували ставки іпотечних кредитів на 5-10 базисних пунктів нижче, ніж середньо-ринкові. Однак, якщо забудовник не співпрацював з комерційним банком, позичальники звичайно повинні були забезпечити додаткову заставу нерухомості для забезпечення іпотеки на первинному ринку.</w:t>
      </w:r>
    </w:p>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житлової нерухомості в Києві продемонстрував в цілому позитивну динаміку протягом 2011 року та в першій половині 2012 року. Протягом 2011 року і в першій половині 2012 року ринок житла в Києві побачив відновлення будівництва кількох значних багатоквартирних житлових комплексів, а також початок будівництва нових проектів. У той же час, попит на житлові приміщення в Києві, та середні ціни на різні категорії квартир, в цілому, залишились стабільними.</w:t>
      </w:r>
    </w:p>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Житлові забудовники у Києві поступово завойовують довіру, і все більше людей готові купити квартиру до введення в експлуатацію багатоквартирного житлового комплексу, якщо розробником є відома компанія з перевіреною репутацією. У той же час, багато житлових розробників прагнуть виставити квартири на продаж на більш пізніх стадіях будівництва, в очікуванні, що такий підхід принесе найбільший дохід.</w:t>
      </w:r>
    </w:p>
    <w:p w:rsidR="004C473B" w:rsidRPr="00C8397D" w:rsidRDefault="004C473B" w:rsidP="004C473B">
      <w:pPr>
        <w:tabs>
          <w:tab w:val="left" w:pos="1845"/>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14:anchorId="7A49569E" wp14:editId="6A8CF663">
            <wp:extent cx="4464685" cy="30930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l="3929" t="37845" r="73045" b="34055"/>
                    <a:stretch>
                      <a:fillRect/>
                    </a:stretch>
                  </pic:blipFill>
                  <pic:spPr bwMode="auto">
                    <a:xfrm>
                      <a:off x="0" y="0"/>
                      <a:ext cx="4464685" cy="3093085"/>
                    </a:xfrm>
                    <a:prstGeom prst="rect">
                      <a:avLst/>
                    </a:prstGeom>
                    <a:noFill/>
                    <a:ln>
                      <a:noFill/>
                    </a:ln>
                  </pic:spPr>
                </pic:pic>
              </a:graphicData>
            </a:graphic>
          </wp:inline>
        </w:drawing>
      </w:r>
    </w:p>
    <w:p w:rsidR="004C473B" w:rsidRPr="00C8397D" w:rsidRDefault="004C473B" w:rsidP="004C473B">
      <w:pPr>
        <w:tabs>
          <w:tab w:val="left" w:pos="1845"/>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ru-RU"/>
        </w:rPr>
        <w:t>Графік 4.3.5.8</w:t>
      </w:r>
      <w:r w:rsidRPr="00C8397D">
        <w:rPr>
          <w:rFonts w:ascii="Times New Roman" w:hAnsi="Times New Roman"/>
          <w:sz w:val="28"/>
          <w:szCs w:val="28"/>
          <w:lang w:val="ru-RU"/>
        </w:rPr>
        <w:t xml:space="preserve"> - Щорічна динаміка середніх цін на квартири в Києві, за </w:t>
      </w:r>
      <w:r w:rsidRPr="00C8397D">
        <w:rPr>
          <w:rFonts w:ascii="Times New Roman" w:hAnsi="Times New Roman"/>
          <w:sz w:val="28"/>
          <w:szCs w:val="28"/>
          <w:lang w:val="ru-RU"/>
        </w:rPr>
        <w:lastRenderedPageBreak/>
        <w:t>адміністративними районами, у % відношенні щороку</w:t>
      </w:r>
    </w:p>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Примітка: Показники відображають річну динаміку цін; наприклад, показник за 2009 рік представлений як процентне співвідношення середніх цін за станом на початок 2010 року до цін на початок 2009 року</w:t>
      </w:r>
    </w:p>
    <w:p w:rsidR="004C473B" w:rsidRPr="00C8397D" w:rsidRDefault="004C473B" w:rsidP="004C473B">
      <w:pPr>
        <w:tabs>
          <w:tab w:val="left" w:pos="184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w:t>
      </w:r>
      <w:r w:rsidRPr="00C8397D">
        <w:rPr>
          <w:rFonts w:ascii="Times New Roman" w:hAnsi="Times New Roman"/>
          <w:sz w:val="28"/>
          <w:szCs w:val="28"/>
          <w:lang w:val="ru-RU"/>
        </w:rPr>
        <w:t>.5.2 - Щорічна динаміка середніх цін на квартири, за адміністративними районами, , у % відношенні щороку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5"/>
        <w:gridCol w:w="867"/>
        <w:gridCol w:w="822"/>
        <w:gridCol w:w="762"/>
        <w:gridCol w:w="911"/>
        <w:gridCol w:w="911"/>
        <w:gridCol w:w="911"/>
        <w:gridCol w:w="911"/>
        <w:gridCol w:w="911"/>
      </w:tblGrid>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noProof/>
                <w:color w:val="000000"/>
                <w:spacing w:val="3"/>
                <w:sz w:val="28"/>
                <w:szCs w:val="28"/>
                <w:lang w:val="uk-UA"/>
              </w:rPr>
            </w:pPr>
            <w:r w:rsidRPr="00C8397D">
              <w:rPr>
                <w:rFonts w:ascii="Times New Roman" w:hAnsi="Times New Roman"/>
                <w:noProof/>
                <w:color w:val="000000"/>
                <w:spacing w:val="3"/>
                <w:sz w:val="28"/>
                <w:szCs w:val="28"/>
                <w:lang w:val="uk-UA"/>
              </w:rPr>
              <w:t>Райони</w:t>
            </w:r>
          </w:p>
        </w:tc>
        <w:tc>
          <w:tcPr>
            <w:tcW w:w="478"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2009</w:t>
            </w:r>
          </w:p>
        </w:tc>
        <w:tc>
          <w:tcPr>
            <w:tcW w:w="454"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2010</w:t>
            </w:r>
          </w:p>
        </w:tc>
        <w:tc>
          <w:tcPr>
            <w:tcW w:w="410"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2011</w:t>
            </w:r>
          </w:p>
        </w:tc>
        <w:tc>
          <w:tcPr>
            <w:tcW w:w="412"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2012*</w:t>
            </w:r>
          </w:p>
        </w:tc>
        <w:tc>
          <w:tcPr>
            <w:tcW w:w="438"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2013*</w:t>
            </w:r>
          </w:p>
        </w:tc>
        <w:tc>
          <w:tcPr>
            <w:tcW w:w="480"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2014*</w:t>
            </w:r>
          </w:p>
        </w:tc>
        <w:tc>
          <w:tcPr>
            <w:tcW w:w="484"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2015*</w:t>
            </w:r>
          </w:p>
        </w:tc>
        <w:tc>
          <w:tcPr>
            <w:tcW w:w="478" w:type="pct"/>
          </w:tcPr>
          <w:p w:rsidR="004C473B" w:rsidRPr="00C8397D" w:rsidRDefault="004C473B" w:rsidP="00BA5963">
            <w:pPr>
              <w:spacing w:after="0" w:line="360" w:lineRule="auto"/>
              <w:jc w:val="both"/>
              <w:rPr>
                <w:rFonts w:ascii="Times New Roman" w:hAnsi="Times New Roman"/>
                <w:noProof/>
                <w:color w:val="000000"/>
                <w:spacing w:val="-1"/>
                <w:sz w:val="28"/>
                <w:szCs w:val="28"/>
                <w:lang w:val="uk-UA"/>
              </w:rPr>
            </w:pPr>
            <w:r w:rsidRPr="00C8397D">
              <w:rPr>
                <w:rFonts w:ascii="Times New Roman" w:hAnsi="Times New Roman"/>
                <w:noProof/>
                <w:color w:val="000000"/>
                <w:spacing w:val="-1"/>
                <w:sz w:val="28"/>
                <w:szCs w:val="28"/>
                <w:lang w:val="uk-UA"/>
              </w:rPr>
              <w:t>2016*</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Дніпров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241</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-16%</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5"/>
                <w:sz w:val="28"/>
                <w:szCs w:val="28"/>
              </w:rPr>
              <w:t>Десня</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832</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2"/>
                <w:sz w:val="28"/>
                <w:szCs w:val="28"/>
              </w:rPr>
              <w:t>Дарни</w:t>
            </w:r>
            <w:r w:rsidRPr="00C8397D">
              <w:rPr>
                <w:rFonts w:ascii="Times New Roman" w:hAnsi="Times New Roman"/>
                <w:noProof/>
                <w:color w:val="000000"/>
                <w:spacing w:val="4"/>
                <w:sz w:val="28"/>
                <w:szCs w:val="28"/>
              </w:rPr>
              <w:t>цьки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1</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684</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-10%</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8"/>
                <w:sz w:val="28"/>
                <w:szCs w:val="28"/>
              </w:rPr>
              <w:t>Голос</w:t>
            </w:r>
            <w:r w:rsidRPr="00C8397D">
              <w:rPr>
                <w:rFonts w:ascii="Times New Roman" w:hAnsi="Times New Roman"/>
                <w:noProof/>
                <w:color w:val="000000"/>
                <w:spacing w:val="5"/>
                <w:sz w:val="28"/>
                <w:szCs w:val="28"/>
              </w:rPr>
              <w:t>іїв</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998</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-15%</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z w:val="28"/>
                <w:szCs w:val="28"/>
              </w:rPr>
              <w:t>Пече</w:t>
            </w:r>
            <w:r w:rsidRPr="00C8397D">
              <w:rPr>
                <w:rFonts w:ascii="Times New Roman" w:hAnsi="Times New Roman"/>
                <w:noProof/>
                <w:color w:val="000000"/>
                <w:spacing w:val="6"/>
                <w:sz w:val="28"/>
                <w:szCs w:val="28"/>
              </w:rPr>
              <w:t>рс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900</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-8%</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Поділь</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761</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-24%</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7"/>
                <w:sz w:val="28"/>
                <w:szCs w:val="28"/>
              </w:rPr>
              <w:t>Солом</w:t>
            </w:r>
            <w:r w:rsidRPr="00C8397D">
              <w:rPr>
                <w:rFonts w:ascii="Times New Roman" w:hAnsi="Times New Roman"/>
                <w:noProof/>
                <w:color w:val="000000"/>
                <w:spacing w:val="-1"/>
                <w:w w:val="94"/>
                <w:position w:val="3"/>
                <w:sz w:val="28"/>
                <w:szCs w:val="28"/>
              </w:rPr>
              <w:t>’</w:t>
            </w:r>
            <w:r w:rsidRPr="00C8397D">
              <w:rPr>
                <w:rFonts w:ascii="Times New Roman" w:hAnsi="Times New Roman"/>
                <w:noProof/>
                <w:color w:val="000000"/>
                <w:spacing w:val="6"/>
                <w:sz w:val="28"/>
                <w:szCs w:val="28"/>
              </w:rPr>
              <w:t>ян</w:t>
            </w:r>
            <w:r w:rsidRPr="00C8397D">
              <w:rPr>
                <w:rFonts w:ascii="Times New Roman" w:hAnsi="Times New Roman"/>
                <w:noProof/>
                <w:color w:val="000000"/>
                <w:spacing w:val="8"/>
                <w:sz w:val="28"/>
                <w:szCs w:val="28"/>
              </w:rPr>
              <w:t>ськ</w:t>
            </w:r>
            <w:r w:rsidRPr="00C8397D">
              <w:rPr>
                <w:rFonts w:ascii="Times New Roman" w:hAnsi="Times New Roman"/>
                <w:noProof/>
                <w:color w:val="000000"/>
                <w:spacing w:val="1"/>
                <w:sz w:val="28"/>
                <w:szCs w:val="28"/>
              </w:rPr>
              <w:t>ий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221</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-11%</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0%</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93"/>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1"/>
                <w:sz w:val="28"/>
                <w:szCs w:val="28"/>
              </w:rPr>
              <w:t>Свя</w:t>
            </w:r>
            <w:r w:rsidRPr="00C8397D">
              <w:rPr>
                <w:rFonts w:ascii="Times New Roman" w:hAnsi="Times New Roman"/>
                <w:noProof/>
                <w:color w:val="000000"/>
                <w:spacing w:val="5"/>
                <w:sz w:val="28"/>
                <w:szCs w:val="28"/>
              </w:rPr>
              <w:t>т</w:t>
            </w:r>
            <w:r w:rsidRPr="00C8397D">
              <w:rPr>
                <w:rFonts w:ascii="Times New Roman" w:hAnsi="Times New Roman"/>
                <w:noProof/>
                <w:color w:val="000000"/>
                <w:sz w:val="28"/>
                <w:szCs w:val="28"/>
              </w:rPr>
              <w:t>ош</w:t>
            </w:r>
            <w:r w:rsidRPr="00C8397D">
              <w:rPr>
                <w:rFonts w:ascii="Times New Roman" w:hAnsi="Times New Roman"/>
                <w:noProof/>
                <w:color w:val="000000"/>
                <w:spacing w:val="2"/>
                <w:sz w:val="28"/>
                <w:szCs w:val="28"/>
              </w:rPr>
              <w:t>ин</w:t>
            </w:r>
            <w:r w:rsidRPr="00C8397D">
              <w:rPr>
                <w:rFonts w:ascii="Times New Roman" w:hAnsi="Times New Roman"/>
                <w:noProof/>
                <w:color w:val="000000"/>
                <w:spacing w:val="7"/>
                <w:sz w:val="28"/>
                <w:szCs w:val="28"/>
              </w:rPr>
              <w:t>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032</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-9%</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1"/>
                <w:sz w:val="28"/>
                <w:szCs w:val="28"/>
              </w:rPr>
              <w:t>О</w:t>
            </w:r>
            <w:r w:rsidRPr="00C8397D">
              <w:rPr>
                <w:rFonts w:ascii="Times New Roman" w:hAnsi="Times New Roman"/>
                <w:noProof/>
                <w:color w:val="000000"/>
                <w:spacing w:val="5"/>
                <w:sz w:val="28"/>
                <w:szCs w:val="28"/>
              </w:rPr>
              <w:t>боло</w:t>
            </w:r>
            <w:r w:rsidRPr="00C8397D">
              <w:rPr>
                <w:rFonts w:ascii="Times New Roman" w:hAnsi="Times New Roman"/>
                <w:noProof/>
                <w:color w:val="000000"/>
                <w:spacing w:val="7"/>
                <w:sz w:val="28"/>
                <w:szCs w:val="28"/>
              </w:rPr>
              <w:t>нс</w:t>
            </w:r>
            <w:r w:rsidRPr="00C8397D">
              <w:rPr>
                <w:rFonts w:ascii="Times New Roman" w:hAnsi="Times New Roman"/>
                <w:noProof/>
                <w:color w:val="000000"/>
                <w:spacing w:val="4"/>
                <w:sz w:val="28"/>
                <w:szCs w:val="28"/>
              </w:rPr>
              <w:t>ький</w:t>
            </w:r>
            <w:r w:rsidRPr="00C8397D">
              <w:rPr>
                <w:rFonts w:ascii="Times New Roman" w:hAnsi="Times New Roman"/>
                <w:noProof/>
                <w:color w:val="000000"/>
                <w:spacing w:val="4"/>
                <w:sz w:val="28"/>
                <w:szCs w:val="28"/>
                <w:lang w:val="uk-UA"/>
              </w:rPr>
              <w:t xml:space="preserve">         </w:t>
            </w:r>
            <w:r w:rsidRPr="00C8397D">
              <w:rPr>
                <w:rFonts w:ascii="Times New Roman" w:hAnsi="Times New Roman"/>
                <w:noProof/>
                <w:color w:val="000000"/>
                <w:spacing w:val="-1"/>
                <w:position w:val="3"/>
                <w:sz w:val="28"/>
                <w:szCs w:val="28"/>
              </w:rPr>
              <w:t>2</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968</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-6%</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-19%</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r>
      <w:tr w:rsidR="004C473B" w:rsidRPr="00C8397D" w:rsidTr="00BA5963">
        <w:trPr>
          <w:trHeight w:hRule="exact" w:val="288"/>
        </w:trPr>
        <w:tc>
          <w:tcPr>
            <w:tcW w:w="1365" w:type="pct"/>
          </w:tcPr>
          <w:p w:rsidR="004C473B" w:rsidRPr="00C8397D" w:rsidRDefault="004C473B" w:rsidP="00BA5963">
            <w:pPr>
              <w:spacing w:after="0" w:line="360" w:lineRule="auto"/>
              <w:jc w:val="both"/>
              <w:rPr>
                <w:rFonts w:ascii="Times New Roman" w:hAnsi="Times New Roman"/>
                <w:sz w:val="28"/>
                <w:szCs w:val="28"/>
              </w:rPr>
            </w:pPr>
            <w:r w:rsidRPr="00C8397D">
              <w:rPr>
                <w:rFonts w:ascii="Times New Roman" w:hAnsi="Times New Roman"/>
                <w:noProof/>
                <w:color w:val="000000"/>
                <w:spacing w:val="3"/>
                <w:sz w:val="28"/>
                <w:szCs w:val="28"/>
              </w:rPr>
              <w:t>Шевче</w:t>
            </w:r>
            <w:r w:rsidRPr="00C8397D">
              <w:rPr>
                <w:rFonts w:ascii="Times New Roman" w:hAnsi="Times New Roman"/>
                <w:noProof/>
                <w:color w:val="000000"/>
                <w:spacing w:val="5"/>
                <w:sz w:val="28"/>
                <w:szCs w:val="28"/>
              </w:rPr>
              <w:t>нківськи</w:t>
            </w:r>
            <w:r w:rsidRPr="00C8397D">
              <w:rPr>
                <w:rFonts w:ascii="Times New Roman" w:hAnsi="Times New Roman"/>
                <w:noProof/>
                <w:color w:val="000000"/>
                <w:spacing w:val="1"/>
                <w:sz w:val="28"/>
                <w:szCs w:val="28"/>
              </w:rPr>
              <w:t>й</w:t>
            </w:r>
            <w:r w:rsidRPr="00C8397D">
              <w:rPr>
                <w:rFonts w:ascii="Times New Roman" w:hAnsi="Times New Roman"/>
                <w:noProof/>
                <w:color w:val="000000"/>
                <w:spacing w:val="1"/>
                <w:sz w:val="28"/>
                <w:szCs w:val="28"/>
                <w:lang w:val="uk-UA"/>
              </w:rPr>
              <w:t xml:space="preserve">    </w:t>
            </w:r>
            <w:r w:rsidRPr="00C8397D">
              <w:rPr>
                <w:rFonts w:ascii="Times New Roman" w:hAnsi="Times New Roman"/>
                <w:noProof/>
                <w:color w:val="000000"/>
                <w:spacing w:val="-1"/>
                <w:position w:val="3"/>
                <w:sz w:val="28"/>
                <w:szCs w:val="28"/>
              </w:rPr>
              <w:t>4</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443</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5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-33%</w:t>
            </w:r>
          </w:p>
        </w:tc>
        <w:tc>
          <w:tcPr>
            <w:tcW w:w="41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w:t>
            </w:r>
          </w:p>
        </w:tc>
        <w:tc>
          <w:tcPr>
            <w:tcW w:w="412"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w:t>
            </w:r>
          </w:p>
        </w:tc>
        <w:tc>
          <w:tcPr>
            <w:tcW w:w="43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0"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84"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c>
          <w:tcPr>
            <w:tcW w:w="478" w:type="pct"/>
          </w:tcPr>
          <w:p w:rsidR="004C473B" w:rsidRPr="00C8397D" w:rsidRDefault="004C473B"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w:t>
            </w:r>
          </w:p>
        </w:tc>
      </w:tr>
    </w:tbl>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Примітка: Показники відображають річну динаміку цін; наприклад, показник за 2009 рік представлений як процентне співвідношення середніх цін за станом на початок 2010 року до цін на початок 2009 року.</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Варіація цін за розташуванням</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Розташування грає велику роль у вартості жилої нерухомості</w:t>
      </w:r>
    </w:p>
    <w:p w:rsidR="004C473B" w:rsidRPr="00C8397D" w:rsidRDefault="004C473B" w:rsidP="004C473B">
      <w:pPr>
        <w:spacing w:after="0" w:line="360" w:lineRule="auto"/>
        <w:ind w:firstLine="709"/>
        <w:jc w:val="both"/>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14:anchorId="204BED3A" wp14:editId="1BD89886">
            <wp:extent cx="5048885" cy="49415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l="31143" t="12874" r="27510" b="15089"/>
                    <a:stretch>
                      <a:fillRect/>
                    </a:stretch>
                  </pic:blipFill>
                  <pic:spPr bwMode="auto">
                    <a:xfrm>
                      <a:off x="0" y="0"/>
                      <a:ext cx="5048885" cy="4941570"/>
                    </a:xfrm>
                    <a:prstGeom prst="rect">
                      <a:avLst/>
                    </a:prstGeom>
                    <a:noFill/>
                    <a:ln>
                      <a:noFill/>
                    </a:ln>
                  </pic:spPr>
                </pic:pic>
              </a:graphicData>
            </a:graphic>
          </wp:inline>
        </w:drawing>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highlight w:val="yellow"/>
          <w:lang w:val="uk-UA"/>
        </w:rPr>
        <w:t>Рисунок 4.3.</w:t>
      </w:r>
      <w:r w:rsidRPr="00C8397D">
        <w:rPr>
          <w:rFonts w:ascii="Times New Roman" w:hAnsi="Times New Roman"/>
          <w:sz w:val="28"/>
          <w:szCs w:val="28"/>
          <w:lang w:val="uk-UA"/>
        </w:rPr>
        <w:t>5.1 – Середні ціни на житлову нерухомість у Києві станом на червень 2012 року за житловими районами</w:t>
      </w:r>
    </w:p>
    <w:p w:rsidR="004C473B" w:rsidRPr="00C8397D" w:rsidRDefault="004C473B" w:rsidP="004C473B">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Найдорожчі житлові райони</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центральній частині Києва кілька житлових районів, як правило, вважаються більш престижними і зручними ніж інші, таким чином, житлові комплекси, (як на первинному так і вторинному ринках), розташована у цих локаціях, як правило, дорожчі ніж в інших житлових районах міста.</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Рівень престижу конкретного житлового району визначається декількома факторами: розміщенням в старому історичному районі (наявність знакових архітектурних та історичних пам'яток), розміщенням недалеко від національних та міських урядових будівель, бізнес-центрів, та розкішних торгових / розважальних комплексів,</w:t>
      </w:r>
      <w:r w:rsidRPr="00C8397D">
        <w:rPr>
          <w:rFonts w:ascii="Times New Roman" w:hAnsi="Times New Roman"/>
          <w:sz w:val="28"/>
          <w:szCs w:val="28"/>
          <w:lang w:val="uk-UA"/>
        </w:rPr>
        <w:tab/>
        <w:t>наявністю хорошої транспортної розв’язки, зелених насаджень та віддаленість від промислових об'єктів.</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Одним з найпрестижніших районів в центрі міста є район, утворений </w:t>
      </w:r>
      <w:r w:rsidRPr="00C8397D">
        <w:rPr>
          <w:rFonts w:ascii="Times New Roman" w:hAnsi="Times New Roman"/>
          <w:sz w:val="28"/>
          <w:szCs w:val="28"/>
          <w:lang w:val="uk-UA"/>
        </w:rPr>
        <w:lastRenderedPageBreak/>
        <w:t>вулицею Хрещатиком та мікро районом Липки. Хрещатик є головною вулицею Києва, де розташовані будівля міської адміністрації, декілька розкішних торгівельних центрів, та велика кількість історичних місць. Територія Липок вважається однією з найзеленіших, безпечніших і досить тихих районів міста. Основні державні установи (Адміністрація Президента, Верховна Рада та Верховний Суд України) знаходяться в цьому районі. Він легко доступний як для транспортних засобів так і для пішоходів, дві центральні станції метро "Хрещатик" і "Майдан Незалежності" знаходяться в безпосередній близькості від нього. Основними вулицями району Липки є вулиці Лютеранська, Круглоуніверситетська, Інститутська та вулиця Грушевського.</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цьому престижному районі існує лише декілька житлових комплексів яки знаходяться на стадії будівництва. Це пояснюється високою щільністю існуючих будівель, та обмеженою кількістю вільного місця, придатного для будівництва, тим самим підвищуючи ексклюзивність і респектабельність будь-якого нового будинку, що виникає в цьому місці. Нові житлові комплекси на цій території позиціонуються як елітні / люкс, а деякі з них побудовані як «клубні будинки» (житлові будинки з закритими дворами і преміум послугами). Типова площа квартир в новій житловій будівлі в цих місцях зазвичай перевищує </w:t>
      </w:r>
      <w:smartTag w:uri="urn:schemas-microsoft-com:office:smarttags" w:element="metricconverter">
        <w:smartTagPr>
          <w:attr w:name="ProductID" w:val="100 кв. м"/>
        </w:smartTagPr>
        <w:r w:rsidRPr="00C8397D">
          <w:rPr>
            <w:rFonts w:ascii="Times New Roman" w:hAnsi="Times New Roman"/>
            <w:sz w:val="28"/>
            <w:szCs w:val="28"/>
            <w:lang w:val="uk-UA"/>
          </w:rPr>
          <w:t>100 кв. м</w:t>
        </w:r>
      </w:smartTag>
      <w:r w:rsidRPr="00C8397D">
        <w:rPr>
          <w:rFonts w:ascii="Times New Roman" w:hAnsi="Times New Roman"/>
          <w:sz w:val="28"/>
          <w:szCs w:val="28"/>
          <w:lang w:val="uk-UA"/>
        </w:rPr>
        <w:t>. Всі нові житлові комплекси мають підземний паркінг, а іноді і невелику наземну паркову для гостей.</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Ціни в цьому районі найвищі в місті, та варіюються від $ 2,500-15,000 за кв. м. за квартиру без оздоблення , і до $ 22 000 за повністю обладнані апартаменти з дизайнерською обробкою. У Києві вартість квартир збільшується, чим ближче вони знаходяться до Хрещатика, серця центра міста.</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Територія між бульваром Тараса Шевченка і Великою Житомирською вулицею може бути розглянута як другий найпрестижніший район в центральній частині Києва. Цей район розташований на заході та північно-західному напрямку від Хрещатику, простягаючись від Софіївської та </w:t>
      </w:r>
      <w:r w:rsidRPr="00C8397D">
        <w:rPr>
          <w:rFonts w:ascii="Times New Roman" w:hAnsi="Times New Roman"/>
          <w:sz w:val="28"/>
          <w:szCs w:val="28"/>
          <w:lang w:val="uk-UA"/>
        </w:rPr>
        <w:lastRenderedPageBreak/>
        <w:t>Михайлівської площ, та проходячи по вулиці Володимирська у напрямку до бульвару Тараса Шевченка, який перетинає вулиця Б. Хмельницького. У північно-західному напрямку район обмежується Великою Житомирською вулицею. Район славиться рядом відомих історичних пам'яток, а також великою кількістю великих культурних об'єктів, таких як Оперний театр, різні драматичні театри, музеї та парки. Цей непромисловий район вважається важливим діловим центром та розміщує велику кількість посольств.</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Район має добре розвинену транспортну інфраструктуру зі зручним доступом до будь-якої точки центрального ділового району та прилеглих до нього вулиць. Є кілька станцій різних ліній метро та залізничного вокзалу, які розташований в безпосередній близькості від цього району. Прилеглі вулиці, а саме Тургенівська і Гоголівська також вважаються респектабельними місцями з дорогими багатоквартирними будівлями.</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 районі є десятки нових житлових будинків на стадії будівництва або побудованих протягом останніх кількох років. Як і на Липках, територія, яка може бути використана для будівництва нових багатоквартирних житлових комплексів, є досить обмеженою. Більшість нових житлових будинків позиціонуються девелоперами як «елітні» та деякі з них вважаються клубними будинками з відносно високим рівнем комфортності. Ціни на житлову нерухомість в цьому районі залишаються відносно високими, починаючи від 3 000 доларів США (гарна якість оздоблення) до 14 000 доларів США за кв. м (необроблені квартири у новозбудованих будинках “клубного типу").</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Третій найпрестижніший житловий район в самому центрі міста розташований між бульваром Шевченка і Великою Васильківською вулицею. Головними вулицями в цьому районі є вулиця Льва Толстого, Велика Васильківська, Саксаганського, Жилянська і вулиця Антоновича (Горького). Площа Льва Толстого, поруч з Ботанічним садом, вважається одним з найпрестижніших житлових районів в місті.</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lastRenderedPageBreak/>
        <w:t>Основною перевагою району є добре розвинута соціальна та транспортна інфраструктури. Ціни на житлову нерухомість у цій локації варіюються від 2 000 доларів США кв. м (на не оздоблені квартири, розташовані у споруджуваних житлових комплексах) до 7 000 доларів США за кв. м (на не оздоблені квартири в недавно побудованих будівлях, розташованих поруч з Ботанічним садом).</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Іншими популярним житловими районами Києва є Печерській район та Оболонські Липки. Середні ціни в цих районах в даний час варіюються від 2 000 -7 000 доларів США за кв. м, та 2 200-6 000 доларів США за кв. м відповідно.</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Село Козин, розташоване на південній околиці Києва, вважається найпопулярнішим місцем розташування приватних домів в Києві та області. Середні ціни на приватні будинки у селі Козин варіюється від 3 000 доларів США та 9 000 за кв. м (без оздоблення), у той час як ціни на ексклюзивні будинки з дизайнерським оздобленням можуть досягати 15 000 доларів США за квадратний метр.</w:t>
      </w:r>
    </w:p>
    <w:p w:rsidR="004C473B" w:rsidRPr="00C8397D" w:rsidRDefault="004C473B" w:rsidP="004C473B">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Житлові райони середнього рівня доходів</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Можна умовно позначити житлові квартали середнього рівня доходів як ті, що знаходяться в більш віддалених районах, прилеглих до елітної житлової території, зазначеної вище. Вони характеризуються доступністю автомобільним та громадським транспортом, наявністю розвиненої соціально-битової інфраструктури, а іноді і близькістю до водойму та / або паркової зони.</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житлових районів середнього рівня доходів в Києві, які були умовно визначені для цілей цього звіту, належать наступні: Оболонський район (район окреслений проспектом Героїв Сталінграда та Богатирською вулицею), Поділ, Лук’янівка , площа Перемоги та район Політехнічного Університету.</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Іншими житловими районами середнього рівня доходів є території утворені вулицями Жилянською, Саксаганського і Горького, проспектом 40-</w:t>
      </w:r>
      <w:r w:rsidRPr="00C8397D">
        <w:rPr>
          <w:rFonts w:ascii="Times New Roman" w:hAnsi="Times New Roman"/>
          <w:sz w:val="28"/>
          <w:szCs w:val="28"/>
          <w:lang w:val="uk-UA"/>
        </w:rPr>
        <w:lastRenderedPageBreak/>
        <w:t>річчя Жовтня, а також Московською площею.</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Два житлові квартали середнього рівня доходів розташовані на лівому березі Дніпра, саме мікрорайон Лівобережній, Русанівка та Осокорки і Позняки. Ціни на даний тип житлової нерухомості варіюється від 1 200 – 2 500 доларів США за кв.м у мікрорайоні Осокорки та Позняки, до 1 450 – 4 000 доларів США за кв. м на квартири в менш центральних житлових кварталах Шевченківського району.</w:t>
      </w:r>
    </w:p>
    <w:p w:rsidR="004C473B" w:rsidRPr="00C8397D" w:rsidRDefault="004C473B" w:rsidP="004C473B">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Житлові райони середньо-низького рівня доходів</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зв'язку з історичним розвитком міської структури Києва, деякі території міста перетворилися на такі, що утворюють комбінацію житла середньої та низької цінової категорій, часто межуючи з промисловими об'єктами та задовольняючись менш якісною доступністю громадським транспортом.</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них відносяться такі житлові квартали, як Мінський, Пріорка, Біличе Поле, Куренівка, Сирець та Нивки. Інші райони з комбінацією житла середньої та низької цінової категорій включають Новобіличи, Біличи, Академмістечко, Святошин, Шулявка. Такі підрайони як Казенні і Караваєві дачі, Першотравневий, Протасов, Слобідка і Сойки також сприймаються як райони з комбінацією житла середньої та низької цінової категорій</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Ці території можна охарактеризувати як популярні житлові райони міста, які є забудовані багатоквартирними будинками радянських часів низької якості. Ціни в цих місцях варіюються від $ 800 до 3 000 доларів США за квадратний метр, залежно від якості, обробки і особливостей розміщення.</w:t>
      </w:r>
    </w:p>
    <w:p w:rsidR="004C473B" w:rsidRPr="00C8397D" w:rsidRDefault="004C473B" w:rsidP="004C473B">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Житлових райони низького рівня доходів</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Це території, які вважаються суто спальними районами побудованими за радянські часи і, як правило, розташованими поза пішохідної доступності від станції метро. Житлові райони низького рівня доходів включають наступні: Виноградар, Борщагівка, Теремки, Дарниця, Лісовий Масив, Воскресенка та Троещина.</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Середні ціни на житло в багатоквартирних житлових будинках у цих </w:t>
      </w:r>
      <w:r w:rsidRPr="00C8397D">
        <w:rPr>
          <w:rFonts w:ascii="Times New Roman" w:hAnsi="Times New Roman"/>
          <w:sz w:val="28"/>
          <w:szCs w:val="28"/>
          <w:lang w:val="uk-UA"/>
        </w:rPr>
        <w:lastRenderedPageBreak/>
        <w:t>районах коливаються від 670 доларів США за кв.м до 2 400 доларів за кв. м.</w:t>
      </w:r>
    </w:p>
    <w:p w:rsidR="004C473B" w:rsidRPr="00C8397D" w:rsidRDefault="004C473B" w:rsidP="004C473B">
      <w:pPr>
        <w:spacing w:after="0" w:line="360" w:lineRule="auto"/>
        <w:ind w:firstLine="709"/>
        <w:jc w:val="both"/>
        <w:rPr>
          <w:rFonts w:ascii="Times New Roman" w:hAnsi="Times New Roman"/>
          <w:i/>
          <w:sz w:val="28"/>
          <w:szCs w:val="28"/>
          <w:lang w:val="uk-UA"/>
        </w:rPr>
      </w:pPr>
      <w:r w:rsidRPr="00C8397D">
        <w:rPr>
          <w:rFonts w:ascii="Times New Roman" w:hAnsi="Times New Roman"/>
          <w:i/>
          <w:sz w:val="28"/>
          <w:szCs w:val="28"/>
          <w:lang w:val="uk-UA"/>
        </w:rPr>
        <w:t>Перспективи</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Подальший розвиток ринку житлової нерухомості в Києві і Україні в цілому важко передбачити в першу чергу через відсутність чітких показників попиту і кількості угод купівлі-продажу в цьому секторі, а також через загальну економічну невизначеність.</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Однак, очевидно, що ринок житлової нерухомості в Києві залишається ненасиченим, з точки зору загального обсягу приміщень на душу населення, їх якості і різноманітності формату, а також через відкладений попит, нереалізований через відсутність кредитного фінансування, та досі високих цін в порівнянні з середніми доходами населення.</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ринку житлової нерухомості в Києві є багато можливостей будівництва доступного житла, а також якісного житла середнього рівня доходу з усіма зручностями та ефективною прибудинковою територією.</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Крім того, як уже згадувалося вище, багато людей в Києві вважають за краще вкладати свої фінансові заощадження в житлову нерухомість зважаючи на масові вподобання володіння жилою нерухомістю над її орендою, коливання курсів валют, недовіри до банківської системи, та загальної економічної та політичної невпевненості в країні.</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минулому, в період 2001-2008 років щорічна пропозиція на ринку житлової нерухомості в Києві складала від 1 до 1,4 млн. м. кв. У зв'язку з фінансовою кризою в секторі було зафіксовано зниження річної пропозиції, яка склала до 950 тис. квадратних метрів у 2009 році і більше 1 млн. кв. м в 2010 році.</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 думку експертів цей показник у 2012-2020 у Києві буде не менше 900 тис. кв. м, варіюючись від 900 тис. до 1 500 тис. кв. м в рік.</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Прогнози щодо майбутньої динаміки цін на житлову нерухомість в Києві, основуючись на загальних припущеннях, викладених нижче:</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 xml:space="preserve">У 2012 році українська економіка продовжить відновлюватися відносно невисокими темпами, і економічне зростання складе 1-3%, в той час </w:t>
      </w:r>
      <w:r w:rsidRPr="00C8397D">
        <w:rPr>
          <w:rFonts w:ascii="Times New Roman" w:hAnsi="Times New Roman"/>
          <w:sz w:val="28"/>
          <w:szCs w:val="28"/>
          <w:lang w:val="uk-UA"/>
        </w:rPr>
        <w:lastRenderedPageBreak/>
        <w:t>як у період з 2013 року по 2016 рік включно економічне зростання в Україні буде в діапазоні від 3% до 5% в рік</w:t>
      </w:r>
    </w:p>
    <w:p w:rsidR="004C473B" w:rsidRPr="00C8397D" w:rsidRDefault="004C473B" w:rsidP="004C473B">
      <w:pPr>
        <w:tabs>
          <w:tab w:val="left" w:pos="108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w:t>
      </w:r>
      <w:r w:rsidRPr="00C8397D">
        <w:rPr>
          <w:rFonts w:ascii="Times New Roman" w:hAnsi="Times New Roman"/>
          <w:sz w:val="28"/>
          <w:szCs w:val="28"/>
          <w:lang w:val="uk-UA"/>
        </w:rPr>
        <w:tab/>
        <w:t>Наші прогнози для 2012-2016 років ґрунтуються на припущенні, що обмінний курс української гривні до долара США буде перебувати на рівні близько 8 гривень за долар США, а співвідношення Євро до долара США становитиме приблизно 1,4. Як свідчать події в Україні кінця 2008 року, будь-які значні коливання валютного курсу гривні до «твердих» валют можуть істотно вплинути на ціни продажу нерухомості в доларовому еквіваленті.</w:t>
      </w:r>
    </w:p>
    <w:p w:rsidR="004C473B" w:rsidRPr="00C8397D" w:rsidRDefault="004C473B" w:rsidP="004C473B">
      <w:pPr>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початку 2013 року очікується деяке зміцнення висхідної динаміки, при цьому відбудеться щорічне зростання цін на 3-5% протягом 2013-2016 років.</w:t>
      </w:r>
    </w:p>
    <w:p w:rsidR="00791E58" w:rsidRDefault="00791E58">
      <w:bookmarkStart w:id="0" w:name="_GoBack"/>
      <w:bookmarkEnd w:id="0"/>
    </w:p>
    <w:sectPr w:rsidR="00791E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2C2"/>
    <w:rsid w:val="004022C2"/>
    <w:rsid w:val="004C473B"/>
    <w:rsid w:val="00791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73B"/>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47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473B"/>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73B"/>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47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473B"/>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6033</Words>
  <Characters>34391</Characters>
  <Application>Microsoft Office Word</Application>
  <DocSecurity>0</DocSecurity>
  <Lines>286</Lines>
  <Paragraphs>80</Paragraphs>
  <ScaleCrop>false</ScaleCrop>
  <Company/>
  <LinksUpToDate>false</LinksUpToDate>
  <CharactersWithSpaces>40344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2013-07-18T08:36:00Z</dcterms:created>
  <dcterms:modified xsi:type="dcterms:W3CDTF">2013-07-18T08:36:00Z</dcterms:modified>
</cp:coreProperties>
</file>