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 w:rsidRPr="00C8397D">
        <w:rPr>
          <w:rFonts w:ascii="Times New Roman" w:hAnsi="Times New Roman"/>
          <w:b/>
          <w:sz w:val="28"/>
          <w:szCs w:val="28"/>
          <w:lang w:val="uk-UA"/>
        </w:rPr>
        <w:t xml:space="preserve">3.2.1.2. Огляд ринку готельної нерухомості у місті Київ </w:t>
      </w:r>
    </w:p>
    <w:bookmarkEnd w:id="0"/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Основні висновки: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Ринок готельної нерухомості у Києві є структурно ненасичений з точки зору його наповнення якісними міжнародними операторами, хоча значний об’єм нової пропозиції запланований до реалізації впродовж наступних 3-5 років.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Ґрунтуючись на даних за період з 2009 року по 2010 рік, ринок готельної нерухомості у місті Києві відновив тенденцію, що до зростання показників завантаженості та рівню ADR, після негативного впливу фінансової кризи 2009 року. Спираючись на результати аналізу проведеного між міжнародними операторами готельної нерухомості у 2011 році, середній ринковий ADR був зареєстрований у розмірі 2 136,96 грн. (EUR 215,23), у той час як, рівень завантаженості готелів становив 60.4%.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Згідно Всесвітній Раді Подорожей та Туризму (WTTC), кількість відвідувачів в Україні зросте з 20 мільйонів у 2012 році до 25,87 мільйонів відвідувачів у 2022 році. Даний показник відображає зростання кількості відвідувачів у Києві з 6 мільйонів туристів у 2012 році до 7,8 мільйонів туристів у 2022 році.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Загальний обсяг пропозиції на ринку готельної нерухомості у Києві, у розмірі 9 800 номерів, 6 444 з яких можуть бути розглянуті як якісні готельні номери. Аналіз майбутньої пропозиції на ринку готельної нерухомості виявив додаткові 1 468 номерів заявлених до реалізації, які відображають 22,8% від загальної кількості якісних номерів. Аналіз попиту на ринку готельної нерухомості виявив, що майбутня пропозиція, заявлена до реалізації у місті Києві на час аналізу, відображає лише 49,4 - 53,5%від загальної потреби у якісних готельних номерах до 2022 року.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Ринок готельної нерухомості може буде розділений на дві категорії: міжнародні мережеві готелі преміум класу/готелі вищої середньої цінової категорії, та самостійно-оперовані локальні готелі. Міжнародний бізнес сегмент є майже єдиним користувачем мережевих готелів. Сегмент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відпочинку та розваг повністю представлений локальними, не мережевими операторами.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Консультації з міжнародними мережевими операторами готельної нерухомості, присутніми на національному ринку, виявили очікування зниження рівня ADR в коротко та середньостроковій перспективі в сегменті міжнародних мережевих готелів преміум класу/готелів вищої середньої цінової категорії в розмірі до 25%.</w:t>
      </w:r>
    </w:p>
    <w:p w:rsidR="002D2484" w:rsidRPr="00C8397D" w:rsidRDefault="002D2484" w:rsidP="002D2484">
      <w:pPr>
        <w:numPr>
          <w:ilvl w:val="1"/>
          <w:numId w:val="1"/>
        </w:numPr>
        <w:tabs>
          <w:tab w:val="clear" w:pos="2149"/>
          <w:tab w:val="left" w:pos="990"/>
          <w:tab w:val="num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У Києві нараховується приблизно 6 444 готельні номери, які можуть бути розглянуті як конкурентоспроможні по відношенню до проекту «Київ Сіті». На кінець 2011 року, приблизно 28% від загальної кількості готельних номерів у Києві були оперовані міжнародними готельними операторами. Основні конкурентоспроможні готелі у Києві, зазначені у цьому розділі, включають: Hyatt, Intercontinental, Radisson Blu, «Опера», «Прем’єр Палас» та Ibis, а також недавно відчинені Fairmont Grand Hotel Kyiv та Ramada Encore по 258 та 322 номери відповідно.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7B5ABF4" wp14:editId="1F92800A">
            <wp:extent cx="3774440" cy="2169160"/>
            <wp:effectExtent l="0" t="0" r="0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2" t="32495" r="60417" b="34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 4.3.2.1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- Основні показники ринку готельної нерухомості у місті Київ, 2008 – 2011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Пропозиція на ринку готелів у місті Київ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За даними Державного комітету статистики, на початок 2011 року, в Києві налічувалося 133 готеля та інших видів короткострокового проживання, або 9 807 номери, більшість з яких представлені в локальному економ сегменті.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Нараховуэться приблизно 6 444 номери, які можуть бути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конкурентоспроможними по відношенню до проекту «Київ Сіті». На кінець 2011, близько 27% від всієї якісної пропозиції готельних номерів у місті Києві були оперовані міжнародними готельними операторами. Якісні, конкурентоспроможні готелі у місті Києві включають наступні: Hyatt, Intercontinental, Radisson Blu, «Опера», «Прем’єр Палац», «Рив’єра», Ibis та нещодавно відкриті Fairmont Grand Hotel Kyiv та Ramada Encore на 258 і 322 номери кожна. Існує лімітована присутність якісних міжнародних «сервіс апартаментів».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Основні конкурентоспроможні готелі у місті Київ, які наведені у таблиці нижче.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Таблиця 4.3.2</w:t>
      </w:r>
      <w:r w:rsidRPr="00C8397D">
        <w:rPr>
          <w:rFonts w:ascii="Times New Roman" w:hAnsi="Times New Roman"/>
          <w:sz w:val="28"/>
          <w:szCs w:val="28"/>
          <w:lang w:val="uk-UA"/>
        </w:rPr>
        <w:t>.4  - Основні якісні готелі міста Київ станом на 2кв. 2012 року</w:t>
      </w:r>
    </w:p>
    <w:tbl>
      <w:tblPr>
        <w:tblpPr w:leftFromText="181" w:rightFromText="181" w:vertAnchor="text" w:horzAnchor="margin" w:tblpY="4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73"/>
        <w:gridCol w:w="4374"/>
        <w:gridCol w:w="2681"/>
      </w:tblGrid>
      <w:tr w:rsidR="002D2484" w:rsidRPr="00C8397D" w:rsidTr="00BA5963">
        <w:trPr>
          <w:trHeight w:hRule="exact" w:val="298"/>
        </w:trPr>
        <w:tc>
          <w:tcPr>
            <w:tcW w:w="2773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2"/>
                <w:sz w:val="28"/>
                <w:szCs w:val="28"/>
              </w:rPr>
              <w:t>Сегмент</w:t>
            </w: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Назва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готелю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Кількість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4"/>
                <w:sz w:val="28"/>
                <w:szCs w:val="28"/>
              </w:rPr>
              <w:t>номерів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 w:val="restart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Преміум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C8397D">
              <w:rPr>
                <w:rFonts w:ascii="Times New Roman" w:hAnsi="Times New Roman"/>
                <w:noProof/>
                <w:color w:val="000000"/>
                <w:spacing w:val="1"/>
                <w:sz w:val="28"/>
                <w:szCs w:val="28"/>
              </w:rPr>
              <w:t>клас</w:t>
            </w: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Fairmont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Grand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Hotel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Kyiv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259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Hyatt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Regency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234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Intercontinental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272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Прем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’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єр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 Палац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287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 w:val="restart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2"/>
                <w:sz w:val="28"/>
                <w:szCs w:val="28"/>
              </w:rPr>
              <w:t>Готелі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</w:rPr>
              <w:t xml:space="preserve"> 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 xml:space="preserve">вищої 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середньої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</w:rPr>
              <w:t xml:space="preserve"> </w:t>
            </w:r>
            <w:r w:rsidRPr="00C8397D">
              <w:rPr>
                <w:rFonts w:ascii="Times New Roman" w:hAnsi="Times New Roman"/>
                <w:noProof/>
                <w:color w:val="000000"/>
                <w:spacing w:val="-4"/>
                <w:sz w:val="28"/>
                <w:szCs w:val="28"/>
              </w:rPr>
              <w:t xml:space="preserve">цінової </w:t>
            </w: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категорії</w:t>
            </w: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Опера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138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Radisson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Blu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255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Рив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’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єра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78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11</w:t>
            </w:r>
            <w:r w:rsidRPr="00C8397D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Mirrors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49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 w:val="restart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2"/>
                <w:sz w:val="28"/>
                <w:szCs w:val="28"/>
                <w:lang w:val="ru-RU"/>
              </w:rPr>
              <w:t>Г</w:t>
            </w:r>
            <w:r w:rsidRPr="00C8397D">
              <w:rPr>
                <w:rFonts w:ascii="Times New Roman" w:hAnsi="Times New Roman"/>
                <w:noProof/>
                <w:color w:val="000000"/>
                <w:spacing w:val="2"/>
                <w:sz w:val="28"/>
                <w:szCs w:val="28"/>
              </w:rPr>
              <w:t>отелі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C8397D">
              <w:rPr>
                <w:rFonts w:ascii="Times New Roman" w:hAnsi="Times New Roman"/>
                <w:noProof/>
                <w:color w:val="000000"/>
                <w:spacing w:val="1"/>
                <w:sz w:val="28"/>
                <w:szCs w:val="28"/>
              </w:rPr>
              <w:t>середньої</w:t>
            </w:r>
            <w:r w:rsidRPr="00C8397D">
              <w:rPr>
                <w:rFonts w:ascii="Times New Roman" w:hAnsi="Times New Roman"/>
                <w:noProof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C8397D">
              <w:rPr>
                <w:rFonts w:ascii="Times New Roman" w:hAnsi="Times New Roman"/>
                <w:noProof/>
                <w:color w:val="000000"/>
                <w:spacing w:val="-4"/>
                <w:sz w:val="28"/>
                <w:szCs w:val="28"/>
              </w:rPr>
              <w:t>цінової</w:t>
            </w:r>
            <w:r w:rsidRPr="00C8397D">
              <w:rPr>
                <w:rFonts w:ascii="Times New Roman" w:hAnsi="Times New Roman"/>
                <w:noProof/>
                <w:color w:val="000000"/>
                <w:spacing w:val="13"/>
                <w:sz w:val="28"/>
                <w:szCs w:val="28"/>
                <w:lang w:val="ru-RU"/>
              </w:rPr>
              <w:t xml:space="preserve"> </w:t>
            </w: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категорії</w:t>
            </w: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Домус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30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6"/>
                <w:sz w:val="28"/>
                <w:szCs w:val="28"/>
              </w:rPr>
              <w:t>Дніпро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186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Джинтама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23</w:t>
            </w:r>
          </w:p>
        </w:tc>
      </w:tr>
      <w:tr w:rsidR="002D2484" w:rsidRPr="00C8397D" w:rsidTr="00BA5963">
        <w:trPr>
          <w:trHeight w:hRule="exact" w:val="283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Хрещатик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130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Київ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187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Національний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75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Поділ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2"/>
                <w:sz w:val="28"/>
                <w:szCs w:val="28"/>
              </w:rPr>
              <w:t>плаза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57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Президент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221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7"/>
                <w:sz w:val="28"/>
                <w:szCs w:val="28"/>
              </w:rPr>
              <w:t>Русь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4"/>
                <w:sz w:val="28"/>
                <w:szCs w:val="28"/>
              </w:rPr>
              <w:t>Аккорд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6"/>
                <w:sz w:val="28"/>
                <w:szCs w:val="28"/>
              </w:rPr>
              <w:t>Отель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450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Альфавіто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275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Україна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370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Воздвиженський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25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Космополітъ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160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Holiday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Inn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208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 w:val="restart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Економ</w:t>
            </w:r>
            <w:r w:rsidRPr="00C8397D">
              <w:rPr>
                <w:rFonts w:ascii="Times New Roman" w:hAnsi="Times New Roman"/>
                <w:noProof/>
                <w:color w:val="000000"/>
                <w:spacing w:val="8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готелі</w:t>
            </w: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Братіслава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337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Кооператор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95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Дружба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175</w:t>
            </w:r>
          </w:p>
        </w:tc>
      </w:tr>
      <w:tr w:rsidR="002D2484" w:rsidRPr="00C8397D" w:rsidTr="00BA5963">
        <w:trPr>
          <w:trHeight w:hRule="exact" w:val="420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2"/>
                <w:sz w:val="28"/>
                <w:szCs w:val="28"/>
              </w:rPr>
              <w:t>Експрес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143</w:t>
            </w:r>
          </w:p>
        </w:tc>
      </w:tr>
      <w:tr w:rsidR="002D2484" w:rsidRPr="00C8397D" w:rsidTr="00BA5963">
        <w:trPr>
          <w:trHeight w:hRule="exact" w:val="321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Ibis</w:t>
            </w:r>
            <w:r w:rsidRPr="00C8397D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Kyiv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Shevchenko</w:t>
            </w:r>
            <w:r w:rsidRPr="00C8397D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Boulevard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212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Козацький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130</w:t>
            </w:r>
          </w:p>
        </w:tc>
      </w:tr>
      <w:tr w:rsidR="002D2484" w:rsidRPr="00C8397D" w:rsidTr="00BA5963">
        <w:trPr>
          <w:trHeight w:hRule="exact" w:val="278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Либідь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273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-9"/>
                <w:sz w:val="28"/>
                <w:szCs w:val="28"/>
              </w:rPr>
              <w:t>Мир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270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3"/>
                <w:sz w:val="28"/>
                <w:szCs w:val="28"/>
              </w:rPr>
              <w:t>Санкт</w:t>
            </w:r>
            <w:r w:rsidRPr="00C8397D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Петербург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50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5"/>
                <w:sz w:val="28"/>
                <w:szCs w:val="28"/>
              </w:rPr>
              <w:t>Салют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90</w:t>
            </w:r>
          </w:p>
        </w:tc>
      </w:tr>
      <w:tr w:rsidR="002D2484" w:rsidRPr="00C8397D" w:rsidTr="00BA5963">
        <w:trPr>
          <w:trHeight w:hRule="exact" w:val="274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«</w:t>
            </w:r>
            <w:r w:rsidRPr="00C8397D">
              <w:rPr>
                <w:rFonts w:ascii="Times New Roman" w:hAnsi="Times New Roman"/>
                <w:noProof/>
                <w:color w:val="000000"/>
                <w:spacing w:val="1"/>
                <w:sz w:val="28"/>
                <w:szCs w:val="28"/>
              </w:rPr>
              <w:t>Турист</w:t>
            </w:r>
            <w:r w:rsidRPr="00C8397D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»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378</w:t>
            </w:r>
          </w:p>
        </w:tc>
      </w:tr>
      <w:tr w:rsidR="002D2484" w:rsidRPr="00C8397D" w:rsidTr="00BA5963">
        <w:trPr>
          <w:trHeight w:hRule="exact" w:val="276"/>
        </w:trPr>
        <w:tc>
          <w:tcPr>
            <w:tcW w:w="2773" w:type="dxa"/>
            <w:vMerge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4" w:type="dxa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Ramada Encore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322</w:t>
            </w:r>
          </w:p>
        </w:tc>
      </w:tr>
      <w:tr w:rsidR="002D2484" w:rsidRPr="00C8397D" w:rsidTr="00BA5963">
        <w:trPr>
          <w:trHeight w:hRule="exact" w:val="281"/>
        </w:trPr>
        <w:tc>
          <w:tcPr>
            <w:tcW w:w="7147" w:type="dxa"/>
            <w:gridSpan w:val="2"/>
          </w:tcPr>
          <w:p w:rsidR="002D2484" w:rsidRPr="00C8397D" w:rsidRDefault="002D2484" w:rsidP="00BA596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11"/>
                <w:sz w:val="28"/>
                <w:szCs w:val="28"/>
              </w:rPr>
              <w:t>Всього</w:t>
            </w:r>
          </w:p>
        </w:tc>
        <w:tc>
          <w:tcPr>
            <w:tcW w:w="2681" w:type="dxa"/>
          </w:tcPr>
          <w:p w:rsidR="002D2484" w:rsidRPr="00C8397D" w:rsidRDefault="002D2484" w:rsidP="00BA596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w w:val="94"/>
                <w:sz w:val="28"/>
                <w:szCs w:val="28"/>
              </w:rPr>
              <w:t>6</w:t>
            </w:r>
            <w:r w:rsidRPr="00C8397D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C8397D">
              <w:rPr>
                <w:rFonts w:ascii="Times New Roman" w:hAnsi="Times New Roman"/>
                <w:noProof/>
                <w:color w:val="000000"/>
                <w:w w:val="94"/>
                <w:sz w:val="28"/>
                <w:szCs w:val="28"/>
              </w:rPr>
              <w:t>444</w:t>
            </w:r>
          </w:p>
        </w:tc>
      </w:tr>
    </w:tbl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На початок 2011 року загальна кількість номерів у готелях, розташованих у Києві, знизилась на 2,6% з року на рік, як результат реконструкції деяких готелів. Упродовж останніх 10 років кількість готелів та інших видів короткострокового проживання в Києві збільшилася на 48%, з 90 готелів у 2001 році до 133 готелів у 2011 році, що відображає збільшення на 1 992 номери, або 20% від загальної кількості номерів у місті.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Збільшення розвитку ринку готельної нерухомості був найбільш інтенсивним починаючи з 2005 року.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246D5A6" wp14:editId="027F2F3B">
            <wp:extent cx="5048885" cy="28213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3" t="30688" r="63292" b="36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 4.3.2.5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- Структура готельної пропозиції у місті Київ, липень 2012 року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У Києві є тільки два міжнародно-оперованих готеля, які позиціонуються в економ сегменті: Ibis оперований компанією Accor Group, та Ramada Encore представлений компанією Wyndham Hotel Group International.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Готель Ibis був єдиним міжнародним готелем відкритим у 2011 році, в той час як Fairmont Grand Hotel Kyiv, Holiday Inn та Ramada Encore були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відкриті впродовж першої половини 2012 року. Протягом 2010 року в Києві не було відкрито жодного міжнародного мережевого готеля, в той час як у 2009 році був відкритий готель Intercontinental.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Основні показники ефективності готельної нерухомості у місті Київ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Для аналізу основних показників ефективності роботи готелів у Києві були проаналізовані дані з наступних готелів: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Hyatt Regency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InterContinental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«Опера»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«Прем’єр Палац»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Radisson Blu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4438974" wp14:editId="0DFD08A1">
            <wp:extent cx="4231640" cy="217868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44243" r="65216" b="29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 4.3.</w:t>
      </w:r>
      <w:r w:rsidRPr="00C8397D">
        <w:rPr>
          <w:rFonts w:ascii="Times New Roman" w:hAnsi="Times New Roman"/>
          <w:sz w:val="28"/>
          <w:szCs w:val="28"/>
          <w:lang w:val="uk-UA"/>
        </w:rPr>
        <w:t>2.6 - Основні зведені показники ефективності готелів у місті Київ, 2008 – 2011 рік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Аналіз історичного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івня завантаженості готелів у Києві визначив значне зниження з 62,7% у 2008 році до 45,9% у 2009 році. У 2010 році середній рівень завантаженості готелів показав невеликій зріст до 53.5%.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Середній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івень завантаженості готелів у Києві у 2011 році становив 60,4%.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3F40B8AB" wp14:editId="30F94A18">
            <wp:extent cx="3550285" cy="2150110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1" t="26537" r="61455" b="44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8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Рисунок 4.3.2</w:t>
      </w:r>
      <w:r w:rsidRPr="00C8397D">
        <w:rPr>
          <w:rFonts w:ascii="Times New Roman" w:hAnsi="Times New Roman"/>
          <w:sz w:val="28"/>
          <w:szCs w:val="28"/>
          <w:lang w:val="ru-RU"/>
        </w:rPr>
        <w:t>.7 - Історичні данні щодо завантаженості готелів у 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ст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Київ, 2008 - січень-квітень 2012 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903"/>
        <w:gridCol w:w="1895"/>
        <w:gridCol w:w="1895"/>
        <w:gridCol w:w="1894"/>
      </w:tblGrid>
      <w:tr w:rsidR="002D2484" w:rsidRPr="00C8397D" w:rsidTr="00BA5963">
        <w:tc>
          <w:tcPr>
            <w:tcW w:w="1970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Середньорічна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2008*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2009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2010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2011</w:t>
            </w:r>
          </w:p>
        </w:tc>
      </w:tr>
      <w:tr w:rsidR="002D2484" w:rsidRPr="00C8397D" w:rsidTr="00BA5963">
        <w:tc>
          <w:tcPr>
            <w:tcW w:w="1970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%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62,7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45,9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53,5</w:t>
            </w:r>
          </w:p>
        </w:tc>
        <w:tc>
          <w:tcPr>
            <w:tcW w:w="1971" w:type="dxa"/>
          </w:tcPr>
          <w:p w:rsidR="002D2484" w:rsidRPr="00C8397D" w:rsidRDefault="002D2484" w:rsidP="00BA5963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60,4</w:t>
            </w:r>
          </w:p>
        </w:tc>
      </w:tr>
    </w:tbl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* = квітень-грудень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69C499E" wp14:editId="14C11681">
            <wp:extent cx="3774440" cy="2286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4" t="41122" r="59457" b="27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Рисунок 4.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3.2.8 - Порівняння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івнів завантаженості у місті Київ у 2010 та 2011 роках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Починаючи з 2008 року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івень ADR у готелях стабілізувався на рівні 2 048,51 грн. (EUR 206.32). У 2010 році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івень ADR знизився до 1 968,00 грн. (Euro 198.21). До кінця 2011 року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івень ADR перевищив рівень 2008 року, та був зареєстрований на рівні 2 136,96 грн. (EUR 215.23).</w:t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E89201D" wp14:editId="7DA1DCC9">
            <wp:extent cx="3657600" cy="21399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1" t="36841" r="62201" b="35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tabs>
          <w:tab w:val="left" w:pos="99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Рисунок 4.3.2</w:t>
      </w:r>
      <w:r w:rsidRPr="00C8397D">
        <w:rPr>
          <w:rFonts w:ascii="Times New Roman" w:hAnsi="Times New Roman"/>
          <w:sz w:val="28"/>
          <w:szCs w:val="28"/>
          <w:lang w:val="ru-RU"/>
        </w:rPr>
        <w:t>.9 - Історичні дані з ADR у 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ст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Київ, 2008 – Q1 2012 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96"/>
        <w:gridCol w:w="1897"/>
        <w:gridCol w:w="1897"/>
        <w:gridCol w:w="1897"/>
      </w:tblGrid>
      <w:tr w:rsidR="002D2484" w:rsidRPr="00C8397D" w:rsidTr="00BA5963"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Середньорічна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2008*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1915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</w:tr>
      <w:tr w:rsidR="002D2484" w:rsidRPr="00C8397D" w:rsidTr="00BA5963"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UAN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2048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,51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2267,07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1968,00</w:t>
            </w:r>
          </w:p>
        </w:tc>
        <w:tc>
          <w:tcPr>
            <w:tcW w:w="1915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2136,96</w:t>
            </w:r>
          </w:p>
        </w:tc>
      </w:tr>
      <w:tr w:rsidR="002D2484" w:rsidRPr="00C8397D" w:rsidTr="00BA5963"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EUR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206,32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228,33</w:t>
            </w:r>
          </w:p>
        </w:tc>
        <w:tc>
          <w:tcPr>
            <w:tcW w:w="1914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198,21</w:t>
            </w:r>
          </w:p>
        </w:tc>
        <w:tc>
          <w:tcPr>
            <w:tcW w:w="1915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215,23</w:t>
            </w:r>
          </w:p>
        </w:tc>
      </w:tr>
    </w:tbl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*=квітень-грудень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D2484" w:rsidRPr="00C8397D" w:rsidRDefault="002D2484" w:rsidP="002D248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5A00C92" wp14:editId="280F1921">
            <wp:extent cx="4474845" cy="2383155"/>
            <wp:effectExtent l="0" t="0" r="190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7" t="37737" r="59486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Рисунок 4.3.2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.10 - Порівняння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івнів ADR у місті Київ, 2010-2011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Як функція завантаженості та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івня </w:t>
      </w:r>
      <w:r w:rsidRPr="00C8397D">
        <w:rPr>
          <w:rFonts w:ascii="Times New Roman" w:hAnsi="Times New Roman"/>
          <w:sz w:val="28"/>
          <w:szCs w:val="28"/>
        </w:rPr>
        <w:t>ADR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C8397D">
        <w:rPr>
          <w:rFonts w:ascii="Times New Roman" w:hAnsi="Times New Roman"/>
          <w:sz w:val="28"/>
          <w:szCs w:val="28"/>
        </w:rPr>
        <w:t>RevPAR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 відображає вплив фінансової кризи 2009 року, та показує недавнє відновлення ринку, що відбулося у 2011 році до рівню спостережуваного у 2008 році. У 2008 році RevPAR становив 1 288,35 грн. (EUR 129,76), однак у 2009 році цей показник знизився до 1 037,75 грн. (EUR 104,52) з подальшим відновленням понад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івня спостережуваного у 2008 році, до відмітки у 1 328,53 грн. (EUR 133.80).</w:t>
      </w:r>
    </w:p>
    <w:p w:rsidR="002D2484" w:rsidRPr="00C8397D" w:rsidRDefault="002D2484" w:rsidP="002D248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643C387" wp14:editId="50B10941">
            <wp:extent cx="3550285" cy="221805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4" t="27545" r="61255" b="4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8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Рисунок 4.3.2.11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 - Історичні дані з RevPAR у 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ст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Київ, 2008 – Q1 2012 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1764"/>
        <w:gridCol w:w="1763"/>
        <w:gridCol w:w="1763"/>
        <w:gridCol w:w="1763"/>
      </w:tblGrid>
      <w:tr w:rsidR="002D2484" w:rsidRPr="00C8397D" w:rsidTr="00BA5963">
        <w:tc>
          <w:tcPr>
            <w:tcW w:w="256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Середньорічна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2008*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2009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2010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2011</w:t>
            </w:r>
          </w:p>
        </w:tc>
      </w:tr>
      <w:tr w:rsidR="002D2484" w:rsidRPr="00C8397D" w:rsidTr="00BA5963">
        <w:tc>
          <w:tcPr>
            <w:tcW w:w="256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w w:val="94"/>
                <w:sz w:val="28"/>
                <w:szCs w:val="28"/>
              </w:rPr>
              <w:t>UAH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1 </w:t>
            </w: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288,35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1 </w:t>
            </w: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037,75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1 </w:t>
            </w: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051,07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1 </w:t>
            </w: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328,53</w:t>
            </w:r>
          </w:p>
        </w:tc>
      </w:tr>
      <w:tr w:rsidR="002D2484" w:rsidRPr="00C8397D" w:rsidTr="00BA5963">
        <w:tc>
          <w:tcPr>
            <w:tcW w:w="256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2"/>
                <w:w w:val="94"/>
                <w:sz w:val="28"/>
                <w:szCs w:val="28"/>
              </w:rPr>
              <w:t>EUR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129,76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104,52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105,86</w:t>
            </w:r>
          </w:p>
        </w:tc>
        <w:tc>
          <w:tcPr>
            <w:tcW w:w="181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noProof/>
                <w:color w:val="000000"/>
                <w:spacing w:val="-3"/>
                <w:sz w:val="28"/>
                <w:szCs w:val="28"/>
              </w:rPr>
              <w:t>133,80</w:t>
            </w:r>
          </w:p>
        </w:tc>
      </w:tr>
    </w:tbl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*=квітень-грудень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C8397D">
        <w:rPr>
          <w:rFonts w:ascii="Times New Roman" w:hAnsi="Times New Roman"/>
          <w:i/>
          <w:sz w:val="28"/>
          <w:szCs w:val="28"/>
          <w:lang w:val="ru-RU"/>
        </w:rPr>
        <w:t xml:space="preserve">Майбутня пропозиція </w:t>
      </w:r>
      <w:proofErr w:type="gramStart"/>
      <w:r w:rsidRPr="00C8397D">
        <w:rPr>
          <w:rFonts w:ascii="Times New Roman" w:hAnsi="Times New Roman"/>
          <w:i/>
          <w:sz w:val="28"/>
          <w:szCs w:val="28"/>
          <w:lang w:val="ru-RU"/>
        </w:rPr>
        <w:t>на</w:t>
      </w:r>
      <w:proofErr w:type="gramEnd"/>
      <w:r w:rsidRPr="00C8397D">
        <w:rPr>
          <w:rFonts w:ascii="Times New Roman" w:hAnsi="Times New Roman"/>
          <w:i/>
          <w:sz w:val="28"/>
          <w:szCs w:val="28"/>
          <w:lang w:val="ru-RU"/>
        </w:rPr>
        <w:t xml:space="preserve"> ринку готельної нерухомості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На додаток до восьми готельних мереж, які вже присутні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ринку (Hyatt, Carlson Rezidor, Intercontinental, Wyndham, Rixos, Best Western, Accor та Starwood), кілька міжнародних готельних операторів планують/розвивають свої проекти у Києві, а саме Hilton, Carlson Rezidor, Accor, Intercontinental, Wyndham, Marriott та Starwood.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Проекти готелів, що планується до відкритя у коротко та середньостроковій перспективі включають наступні: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Sheraton Kyiv Olympiysky, Hilton Kyiv, Holiday Inn, Marriott, Radisson Blu та кілька локальних, немережевих готелі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У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таблиці нижче наведений перелік готелів, що реалізуються.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Таблиця 4.3.2.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5 - Майбутня пропозиція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ринку готельної нерухомості, липень 2012 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8"/>
        <w:gridCol w:w="2436"/>
        <w:gridCol w:w="1390"/>
        <w:gridCol w:w="1879"/>
        <w:gridCol w:w="2188"/>
      </w:tblGrid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Назва проекту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Позиціонування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Кількість номері</w:t>
            </w: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proofErr w:type="gramEnd"/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Орієнтована дата завершення </w:t>
            </w: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будівництва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Поточний статус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Hilton Kyiv 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Прем</w:t>
            </w:r>
            <w:proofErr w:type="gramEnd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іум класс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257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2012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Техн</w:t>
            </w:r>
            <w:proofErr w:type="gramEnd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ічне відкриття відкладено на осінь 2012 року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Sheraton Kyiv Olympiysky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Готелі вищої середньої цінової категорії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172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2012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Техн</w:t>
            </w:r>
            <w:proofErr w:type="gramEnd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ічне відкриття відкладено на кінець 2012 / початок 2013 року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Swissotel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Готелі вищої середньої цінової категорії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276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2014-2015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Реконцепція проекту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Leipzig Marriott Renaissance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Готелі вищої середньої цінової категорії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173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2012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Техн</w:t>
            </w:r>
            <w:proofErr w:type="gramEnd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ічне відкриття відкладено на кінець 2012 / початок 2013 року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Radisson Blu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Готелі вищої середньої цінової категорії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163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Кінець 2012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Ведеться будівництво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City Hotel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Готелі вищої середньої цінової категорії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87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2012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Техн</w:t>
            </w:r>
            <w:proofErr w:type="gramEnd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ічне відкриття відкладено на кінець 2012 / початок 2013 року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lastRenderedPageBreak/>
              <w:t>ComfortLine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Економ готелі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Кінець 2014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ідготовка земельної ділянки</w:t>
            </w:r>
          </w:p>
        </w:tc>
      </w:tr>
      <w:tr w:rsidR="002D2484" w:rsidRPr="00C8397D" w:rsidTr="00BA5963">
        <w:tc>
          <w:tcPr>
            <w:tcW w:w="1548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Park Inn</w:t>
            </w:r>
          </w:p>
        </w:tc>
        <w:tc>
          <w:tcPr>
            <w:tcW w:w="2437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Економі готелі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190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н/а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Ведуться роботи по реконструкції готелю</w:t>
            </w:r>
          </w:p>
        </w:tc>
      </w:tr>
      <w:tr w:rsidR="002D2484" w:rsidRPr="00C8397D" w:rsidTr="00BA5963">
        <w:tc>
          <w:tcPr>
            <w:tcW w:w="0" w:type="auto"/>
            <w:gridSpan w:val="2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Всього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1468</w:t>
            </w: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2D2484" w:rsidRPr="00C8397D" w:rsidRDefault="002D2484" w:rsidP="002D248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BCDC14" wp14:editId="1253C076">
            <wp:extent cx="4785995" cy="221805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0" t="37700" r="59486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</w:t>
      </w: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 xml:space="preserve"> 4.3.2.12</w:t>
      </w:r>
      <w:r w:rsidRPr="00C8397D">
        <w:rPr>
          <w:rFonts w:ascii="Times New Roman" w:hAnsi="Times New Roman"/>
          <w:sz w:val="28"/>
          <w:szCs w:val="28"/>
          <w:lang w:val="ru-RU"/>
        </w:rPr>
        <w:t xml:space="preserve"> - Структура майбутньої пропозиції готельного сектору у місті Київ, липень 2012 року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Частка майбутньої пропозиції по відношенню до існуючої, якісної пропозиції в розмі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 6 444 номерів становить 22,8%. Таким чином, ринок готельної нерухомості буде залежати від стабільного зросту пропозиції для того щоб задовольнити попит. Оцінка попиту, викладена нижче,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ідчить про те що, майбутня пропозиція, заявлена до реалізації у місті Київ на час аналізу, відображає лише 49,4 - 53,5% від загальної потреби у якісних готельних номерах до 2022 року.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8397D">
        <w:rPr>
          <w:rFonts w:ascii="Times New Roman" w:hAnsi="Times New Roman"/>
          <w:b/>
          <w:i/>
          <w:sz w:val="28"/>
          <w:szCs w:val="28"/>
          <w:lang w:val="ru-RU"/>
        </w:rPr>
        <w:t>Інтерв’ю з операторами готельної нерухомості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Проведено інтерв’ю з трьома міжнародними операторами, присутніми на ринку готельної нерухомості у 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ст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Київ для оцінки їх бачення перспектив ринку. Резюме відповідей наведено нижче.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C8397D">
        <w:rPr>
          <w:rFonts w:ascii="Times New Roman" w:hAnsi="Times New Roman"/>
          <w:i/>
          <w:sz w:val="28"/>
          <w:szCs w:val="28"/>
          <w:lang w:val="ru-RU"/>
        </w:rPr>
        <w:t>Готельний оператор №1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>Впродовж 2-3 рокі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сну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є ризик перенасичення готелями преміум та вище середньої цінової категорій.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Ц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ілком ймовірно, що впродовж наступних 5 років ринок готельної нерухомості переорієнтується на розвиток готелів середньої та економ цінових категорій.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Очікується зниження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івня ADR, головним чином як результат впровадження більш низького рівня ADR у розмірі EUR 100, у таких конкуруючих місцях як Варшава, Санкт-Петербург та Москва.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Для розкішних та висококласних готелів використовується внутрішнє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техн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іко-економічне обґрунтування в розмірі мінімум ADR EUR 150, та зростає до EUR 175 впродовж 5 річного стабілізаційного періоду. Початкова завантаженість готелю закладається на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івні 50% з цільовим стабілізаційним рівнем в розмірі 65%. Валовий прибуток від основної діяльності (GOP) готелів розраховується в розмірі 45% для розкішних та висококласних готелів, в той час як для готелів нижчої цінової категорії цей показник може становити 50+%.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Міжнародний мережевий готель економ класу потенційно може оперувати закладаючи валовий прибуток від основної діяльності (GOP) в розмі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75%, однак тому є мало підтверджень.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Ц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ільовий ринок для міжнародних мережевих готелів становить бізнес сегмент (95%) та сегмент відпочинку та розваг (5%)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Найбільші доходи міжнародний мережевий готель отримує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період з понеділка по п’ятницю.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Ринок відпочинку та розваг належить локально оперованим готелям.</w:t>
      </w:r>
    </w:p>
    <w:p w:rsidR="002D2484" w:rsidRPr="00C8397D" w:rsidRDefault="002D2484" w:rsidP="002D2484">
      <w:pPr>
        <w:numPr>
          <w:ilvl w:val="1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Зростання бізнес індустрії є необхідним для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ідтримки попиту за для подальшого розвитку готельної пропозиції.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C8397D">
        <w:rPr>
          <w:rFonts w:ascii="Times New Roman" w:hAnsi="Times New Roman"/>
          <w:i/>
          <w:sz w:val="28"/>
          <w:szCs w:val="28"/>
          <w:lang w:val="ru-RU"/>
        </w:rPr>
        <w:t>Готельний оператор № 2</w:t>
      </w:r>
    </w:p>
    <w:p w:rsidR="002D2484" w:rsidRPr="00C8397D" w:rsidRDefault="002D2484" w:rsidP="002D2484">
      <w:pPr>
        <w:numPr>
          <w:ilvl w:val="1"/>
          <w:numId w:val="3"/>
        </w:numPr>
        <w:tabs>
          <w:tab w:val="left" w:pos="1080"/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На даний час мережевий готель оперує з 10-15% преміумом від середніх зареєстрованих показникі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по ринку.</w:t>
      </w:r>
    </w:p>
    <w:p w:rsidR="002D2484" w:rsidRPr="00C8397D" w:rsidRDefault="002D2484" w:rsidP="002D2484">
      <w:pPr>
        <w:numPr>
          <w:ilvl w:val="1"/>
          <w:numId w:val="3"/>
        </w:numPr>
        <w:tabs>
          <w:tab w:val="left" w:pos="1080"/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 xml:space="preserve">Скептичний прогноз щодо готелів преміум класу, враховуючи майбутню пропозицію, та нещодавньої стабілізації завантаженості готелів до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івню 2008, при меншій кількості номерів на той час.</w:t>
      </w:r>
    </w:p>
    <w:p w:rsidR="002D2484" w:rsidRPr="00C8397D" w:rsidRDefault="002D2484" w:rsidP="002D2484">
      <w:pPr>
        <w:numPr>
          <w:ilvl w:val="1"/>
          <w:numId w:val="3"/>
        </w:numPr>
        <w:tabs>
          <w:tab w:val="left" w:pos="1080"/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Обмежена пропозиція якісних номерів сприяла утриманню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івня ADR.</w:t>
      </w:r>
    </w:p>
    <w:p w:rsidR="002D2484" w:rsidRPr="00C8397D" w:rsidRDefault="002D2484" w:rsidP="002D2484">
      <w:pPr>
        <w:numPr>
          <w:ilvl w:val="1"/>
          <w:numId w:val="3"/>
        </w:numPr>
        <w:tabs>
          <w:tab w:val="left" w:pos="1080"/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Ринок готелів у нецентральних комерційних районах має бути лімітований до невеликих готелів, які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ідходять під економ сегмент.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C8397D">
        <w:rPr>
          <w:rFonts w:ascii="Times New Roman" w:hAnsi="Times New Roman"/>
          <w:i/>
          <w:sz w:val="28"/>
          <w:szCs w:val="28"/>
          <w:lang w:val="ru-RU"/>
        </w:rPr>
        <w:t>Готельний оператор №3</w:t>
      </w:r>
    </w:p>
    <w:p w:rsidR="002D2484" w:rsidRPr="00C8397D" w:rsidRDefault="002D2484" w:rsidP="002D2484">
      <w:pPr>
        <w:numPr>
          <w:ilvl w:val="1"/>
          <w:numId w:val="4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Мережа оперована готельним оператором №3, спромоглась досягти 59% та 65% завантаженості у 2010 та 2011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роках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відповідно.</w:t>
      </w:r>
    </w:p>
    <w:p w:rsidR="002D2484" w:rsidRPr="00C8397D" w:rsidRDefault="002D2484" w:rsidP="002D2484">
      <w:pPr>
        <w:numPr>
          <w:ilvl w:val="1"/>
          <w:numId w:val="4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У 2011 році, ADR цієї мережі був зареєстрований на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івни EUR150</w:t>
      </w:r>
    </w:p>
    <w:p w:rsidR="002D2484" w:rsidRPr="00C8397D" w:rsidRDefault="002D2484" w:rsidP="002D2484">
      <w:pPr>
        <w:numPr>
          <w:ilvl w:val="1"/>
          <w:numId w:val="4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ADR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для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преміально-розташованих готелів у Києві становить EUR 200, в той час як ADR для готелів середньої цінової категорії знаходиться на відмітці EUR100. У такому децентралізованому комерційному районі як «Київ Сіті» відповідний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івень ADR має становити приблизно EUR140</w:t>
      </w:r>
    </w:p>
    <w:p w:rsidR="002D2484" w:rsidRPr="00C8397D" w:rsidRDefault="002D2484" w:rsidP="002D2484">
      <w:pPr>
        <w:numPr>
          <w:ilvl w:val="1"/>
          <w:numId w:val="4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Ринковий GOP для готелі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 прем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іум класу становить приблизно 50%, однак мережа оперована готельним оператором №3, була спроможна досягти 70% GOP впродовж 2010 та 2011 року. У 2012 році мережа очікує GOP у розмі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60%.</w:t>
      </w:r>
    </w:p>
    <w:p w:rsidR="002D2484" w:rsidRPr="00C8397D" w:rsidRDefault="002D2484" w:rsidP="002D2484">
      <w:pPr>
        <w:numPr>
          <w:ilvl w:val="1"/>
          <w:numId w:val="4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Для нового готеля стабілізаційний період становить 3-4 роки.</w:t>
      </w:r>
    </w:p>
    <w:p w:rsidR="002D2484" w:rsidRPr="00C8397D" w:rsidRDefault="002D2484" w:rsidP="002D2484">
      <w:pPr>
        <w:numPr>
          <w:ilvl w:val="1"/>
          <w:numId w:val="4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У коротко, середньостроковій перспективі,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м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іжнародні готельні оператори переорієнтувались на розвиток готелів економ та середньої цінової категорій.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C8397D">
        <w:rPr>
          <w:rFonts w:ascii="Times New Roman" w:hAnsi="Times New Roman"/>
          <w:i/>
          <w:sz w:val="28"/>
          <w:szCs w:val="28"/>
          <w:lang w:val="ru-RU"/>
        </w:rPr>
        <w:t xml:space="preserve">Прогноз попиту </w:t>
      </w:r>
      <w:proofErr w:type="gramStart"/>
      <w:r w:rsidRPr="00C8397D">
        <w:rPr>
          <w:rFonts w:ascii="Times New Roman" w:hAnsi="Times New Roman"/>
          <w:i/>
          <w:sz w:val="28"/>
          <w:szCs w:val="28"/>
          <w:lang w:val="ru-RU"/>
        </w:rPr>
        <w:t>на</w:t>
      </w:r>
      <w:proofErr w:type="gramEnd"/>
      <w:r w:rsidRPr="00C8397D">
        <w:rPr>
          <w:rFonts w:ascii="Times New Roman" w:hAnsi="Times New Roman"/>
          <w:i/>
          <w:sz w:val="28"/>
          <w:szCs w:val="28"/>
          <w:lang w:val="ru-RU"/>
        </w:rPr>
        <w:t xml:space="preserve"> ринку готельної нерухомості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Прогнозування попиту на міжнародні мережеві готелі у Києві, враховуючи загальну пропозицію в розмі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9 807 номерів. Сценарії попиту основуються на припущені середньорічного зростання в розмірі 3.9% до 2022 року (WTTC, Прогноз зросту ринку Подорожей та Туризму в Україні). Середньо-ринкова завантаженість готелів була протестована базуючись на двох сценаріях: 60% та 65%.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>Основуючись на цих прогнозах було зроблено прогноз щодо попиту на нову пропозицію готельних номері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до 2022 року.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ru-RU"/>
        </w:rPr>
        <w:t>Таблиця 4.3</w:t>
      </w:r>
      <w:r w:rsidRPr="00C8397D">
        <w:rPr>
          <w:rFonts w:ascii="Times New Roman" w:hAnsi="Times New Roman"/>
          <w:sz w:val="28"/>
          <w:szCs w:val="28"/>
          <w:lang w:val="ru-RU"/>
        </w:rPr>
        <w:t>.2.7 - Прогноз попиту, 2012 – 2022 рокі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D2484" w:rsidRPr="00C8397D" w:rsidTr="00BA5963">
        <w:tc>
          <w:tcPr>
            <w:tcW w:w="3190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Сценарії</w:t>
            </w:r>
          </w:p>
        </w:tc>
        <w:tc>
          <w:tcPr>
            <w:tcW w:w="3190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Перемінні дані</w:t>
            </w:r>
          </w:p>
        </w:tc>
        <w:tc>
          <w:tcPr>
            <w:tcW w:w="3191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Додатковий попит впродовж 2012-2022 рр.</w:t>
            </w:r>
          </w:p>
        </w:tc>
      </w:tr>
      <w:tr w:rsidR="002D2484" w:rsidRPr="00C8397D" w:rsidTr="00BA5963">
        <w:tc>
          <w:tcPr>
            <w:tcW w:w="3190" w:type="dxa"/>
            <w:vMerge w:val="restart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60% завантаженість</w:t>
            </w:r>
          </w:p>
        </w:tc>
        <w:tc>
          <w:tcPr>
            <w:tcW w:w="3190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Кількість додаткових ночей у готелях</w:t>
            </w:r>
          </w:p>
        </w:tc>
        <w:tc>
          <w:tcPr>
            <w:tcW w:w="3191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1000999</w:t>
            </w:r>
          </w:p>
        </w:tc>
      </w:tr>
      <w:tr w:rsidR="002D2484" w:rsidRPr="00C8397D" w:rsidTr="00BA5963">
        <w:tc>
          <w:tcPr>
            <w:tcW w:w="3190" w:type="dxa"/>
            <w:vMerge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190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Кількість додаткових номері</w:t>
            </w: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proofErr w:type="gramEnd"/>
          </w:p>
        </w:tc>
        <w:tc>
          <w:tcPr>
            <w:tcW w:w="3191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2742</w:t>
            </w:r>
          </w:p>
        </w:tc>
      </w:tr>
      <w:tr w:rsidR="002D2484" w:rsidRPr="00C8397D" w:rsidTr="00BA5963">
        <w:tc>
          <w:tcPr>
            <w:tcW w:w="3190" w:type="dxa"/>
            <w:vMerge w:val="restart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60% завантаженість</w:t>
            </w:r>
          </w:p>
        </w:tc>
        <w:tc>
          <w:tcPr>
            <w:tcW w:w="3190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Кількість додаткових ночей у готелях</w:t>
            </w:r>
          </w:p>
        </w:tc>
        <w:tc>
          <w:tcPr>
            <w:tcW w:w="3191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1084416</w:t>
            </w:r>
          </w:p>
        </w:tc>
      </w:tr>
      <w:tr w:rsidR="002D2484" w:rsidRPr="00C8397D" w:rsidTr="00BA5963">
        <w:tc>
          <w:tcPr>
            <w:tcW w:w="3190" w:type="dxa"/>
            <w:vMerge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190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Кількість додаткових номері</w:t>
            </w:r>
            <w:proofErr w:type="gramStart"/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proofErr w:type="gramEnd"/>
          </w:p>
        </w:tc>
        <w:tc>
          <w:tcPr>
            <w:tcW w:w="3191" w:type="dxa"/>
          </w:tcPr>
          <w:p w:rsidR="002D2484" w:rsidRPr="00C8397D" w:rsidRDefault="002D2484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2971</w:t>
            </w:r>
          </w:p>
        </w:tc>
      </w:tr>
    </w:tbl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Використовуючи найбільш консервативний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ідхід до визначення попиту , мінімум 2742 додаткових номерів будуть необхідні до 2020 року, що є еквівалентом приблизно 14 готелів (у середньому по 200 номерів кожний). Використовуючи найбільш оптимістичний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ідхід до прогнозування, потенційний попит може становити до 15 готелів (у середньому по 200 номерів кожний). Цей прогноз не враховує «ефект канібалізму» попиту для існуючих готелі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ВИСНОВКИ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Ринок готельної нерухомості у Києві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ідновився до «до кризового» рівня завантаженості та показників ADR основуючись на даних основних показників ефективності за 2009 та 2010 рік. У 2011 році середньо-ринковий рівень ADR для міжнародних мережевих готелів становив 2 136,96 грн. (EUR 215.23), у той час як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івень завантаженості становив 60,4%.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Згідно Всесвітній Раді Подорожей та Туризму (WTTC), кількість відвідувачів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Україні зросте з 20 мільйонів у 2012 році до 25,87 мільйонів відвідувачів у 2022 році. DTZ вважає, що даний показник відображає зростання кількості відвідувачів у Києві з 6 мільйонів туристів у 2012 році до </w:t>
      </w:r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>7,8 мільйоні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туристів у 2022 році.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Визначино загальний обсяг пропозиції на ринку готельної нерухомості у розмірі 9 800 номерів, 6 444 з яких можуть бути розглянуті як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як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існі готельні номери. Аналіз майбутньої пропозиції на ринку готельної нерухомості виявив додаткові 1 305 номерів заявлені до реалізації, які відображають 20,3% від загальної кількості якісних номерів. Аналіз попиту на ринку готельної нерухомості виявив, що майбутня пропозиція, заявлена до реалізації у мі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ст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 Києві на час аналізу, відображає лише 47,6% від загальної потреби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у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якісних готельних номерах до 2022 року.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Ринок готельної нерухомості може буде розділений на дві категорії: міжнародні мережеві готелі преміум класу/готелі вищої середньої цінової категорії, та самостійно-оперовані локальні готелі. Міжнародний бізнес сегмент є майже єдиним користувачем мережевих готелів. Сегмент відпочинку та розваг повністю представлений локальними, не мережевими операторами.</w:t>
      </w:r>
      <w:proofErr w:type="gramEnd"/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Інтерв’ю з міжнародними мережевими готельними операторами виявили очікування останніх щодо зниження рівня ADR у коротко та середньостроковий період в сегменті готелів преміум класу, та готелів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іщої середньої цінової категорії максимум на 25%. Основними передумовами зниження показників ефективності у секторі є значний об’єм майбутньої пропозиції у сегменті та підвищення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івня конкурентоспроможності інших міст, в той час як Київ продовжуватиме розвиватися як регіональний центр з торгівлі та розваг. Ринок міжнародних мережевих готелів оперуючи у середньому та економ цінових категоріях продовжує бути структурно ненасиченим, в той час як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як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існий об’єкт з правильним розташуванням, у цьому ціновому сегменті, може вийти на 70% рівень завантаженості.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C8397D">
        <w:rPr>
          <w:rFonts w:ascii="Times New Roman" w:hAnsi="Times New Roman"/>
          <w:i/>
          <w:sz w:val="28"/>
          <w:szCs w:val="28"/>
          <w:lang w:val="ru-RU"/>
        </w:rPr>
        <w:t>Основні визначення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Прямий внесок до ВВП – ВВП генерований секторами індустрії, які безпосередньо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пов’язан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 з туризмом, включаючи готелі, туристичні агентства, ресторани, авіалінії та іншій послуги з пасажироперевезень. Цей показник </w:t>
      </w:r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 xml:space="preserve">дорівнюється до суми загальних внутрішніх витрат пов’язаних з туристичною діяльністю в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країн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і, за вирахуванням надходжень пов’язаних з імпортом.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Прямий внесок до працевлаштування – Кількість працівників найманих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сфері туризму.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Загальний внесок до ВВП – ВВП генерований секторами індустрії, які напряму пов’язані з туризмом, включаючи його непрямі та індуковані складові. (див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н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ижче).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Загальний внесок до працевлаштування – Кількість працівників найманих в сфері туризму включаючи непрямі та індуковані складові. (див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н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ижче).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Витрати іноземних відвідувачів - Витрати іноземних відвідувачів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ід час бізнес та туристичних подорожей, включаючи витрати на транспорт.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Витрати національних туристів – витрати громадян України в межах країни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ід час бізнес та туристичних подорожей, за винятком товарів тривалого користування, оскілки останні не купуються тільки для цілей туризму.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 xml:space="preserve">Витрати на відпочинок та туризм – витрати на відпочинок та туризм в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країн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 як іноземними так і національними туристами.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Непрямі та індуковані складові – внесок до ВВП та показника працевлаштування за трьома факторами:</w:t>
      </w:r>
      <w:proofErr w:type="gramEnd"/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•</w:t>
      </w:r>
      <w:r w:rsidRPr="00C8397D">
        <w:rPr>
          <w:rFonts w:ascii="Times New Roman" w:hAnsi="Times New Roman"/>
          <w:sz w:val="28"/>
          <w:szCs w:val="28"/>
          <w:lang w:val="ru-RU"/>
        </w:rPr>
        <w:tab/>
        <w:t>Капітальні інвестиції – капітальні інвестиції всіх секторів напряму пов’язаних з туристичною діяльністю, включно з інвестиціями інших галузей на суто туристичні активи: транспорт, ресторани та розважальні заклади, готельні послуги.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•</w:t>
      </w:r>
      <w:r w:rsidRPr="00C8397D">
        <w:rPr>
          <w:rFonts w:ascii="Times New Roman" w:hAnsi="Times New Roman"/>
          <w:sz w:val="28"/>
          <w:szCs w:val="28"/>
          <w:lang w:val="ru-RU"/>
        </w:rPr>
        <w:tab/>
        <w:t xml:space="preserve">Кумулятивні урядові витрати – загальні урядові витрати на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 xml:space="preserve">ідтримку туристичного сектору. Цей фактор може включати витрати національних, регіональних та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м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ісцевих органів влади. Наприклад витрати на сприяння туризму, туристичні інформаційні послуги та інше.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•</w:t>
      </w:r>
      <w:r w:rsidRPr="00C8397D">
        <w:rPr>
          <w:rFonts w:ascii="Times New Roman" w:hAnsi="Times New Roman"/>
          <w:sz w:val="28"/>
          <w:szCs w:val="28"/>
          <w:lang w:val="ru-RU"/>
        </w:rPr>
        <w:tab/>
        <w:t xml:space="preserve">Ефект ланцюгових поставок – закупівля вітчизняних товарів та </w:t>
      </w:r>
      <w:r w:rsidRPr="00C8397D">
        <w:rPr>
          <w:rFonts w:ascii="Times New Roman" w:hAnsi="Times New Roman"/>
          <w:sz w:val="28"/>
          <w:szCs w:val="28"/>
          <w:lang w:val="ru-RU"/>
        </w:rPr>
        <w:lastRenderedPageBreak/>
        <w:t xml:space="preserve">послуг безпосередньо </w:t>
      </w:r>
      <w:proofErr w:type="gramStart"/>
      <w:r w:rsidRPr="00C8397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C8397D">
        <w:rPr>
          <w:rFonts w:ascii="Times New Roman" w:hAnsi="Times New Roman"/>
          <w:sz w:val="28"/>
          <w:szCs w:val="28"/>
          <w:lang w:val="ru-RU"/>
        </w:rPr>
        <w:t>ізними секторами туристичної галузі в якості внеску в їх кінцевий продукт.</w:t>
      </w:r>
    </w:p>
    <w:p w:rsidR="002D2484" w:rsidRPr="00C8397D" w:rsidRDefault="002D2484" w:rsidP="002D2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8397D">
        <w:rPr>
          <w:rFonts w:ascii="Times New Roman" w:hAnsi="Times New Roman"/>
          <w:sz w:val="28"/>
          <w:szCs w:val="28"/>
          <w:lang w:val="ru-RU"/>
        </w:rPr>
        <w:t>Індукований внесок – обширний внесок до ВВП та працевлаштування за рахунок витрат робітників безпосередньо та побічно працевлаштованих у сфері туризму.</w:t>
      </w:r>
    </w:p>
    <w:p w:rsidR="00791E58" w:rsidRDefault="00791E58"/>
    <w:sectPr w:rsidR="00791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1A1"/>
    <w:multiLevelType w:val="hybridMultilevel"/>
    <w:tmpl w:val="4656A5CA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77703DB"/>
    <w:multiLevelType w:val="hybridMultilevel"/>
    <w:tmpl w:val="3AA2E88A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6BEF7D27"/>
    <w:multiLevelType w:val="hybridMultilevel"/>
    <w:tmpl w:val="474C809C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1146D9E"/>
    <w:multiLevelType w:val="hybridMultilevel"/>
    <w:tmpl w:val="3A0E967E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A1"/>
    <w:rsid w:val="002D2484"/>
    <w:rsid w:val="00594CA1"/>
    <w:rsid w:val="0079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84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484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84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484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2846</Words>
  <Characters>16224</Characters>
  <Application>Microsoft Office Word</Application>
  <DocSecurity>0</DocSecurity>
  <Lines>135</Lines>
  <Paragraphs>38</Paragraphs>
  <ScaleCrop>false</ScaleCrop>
  <Company/>
  <LinksUpToDate>false</LinksUpToDate>
  <CharactersWithSpaces>19032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2013-07-18T08:33:00Z</dcterms:created>
  <dcterms:modified xsi:type="dcterms:W3CDTF">2013-07-18T08:33:00Z</dcterms:modified>
</cp:coreProperties>
</file>