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EE0" w:rsidRPr="009457BA" w:rsidRDefault="00653EE0" w:rsidP="00653EE0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3.3.2. Оцінка виробничого плану та плану продажів</w:t>
      </w:r>
    </w:p>
    <w:p w:rsidR="00653EE0" w:rsidRPr="009457BA" w:rsidRDefault="00653EE0" w:rsidP="00653EE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Офісні приміщення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Незважаючи на те, що орендарі офісної нерухомості залишаються консервативними у своїх прогнозах зростання на 2013 – 2018 роки, більшість з них планують помірне зростання бізнесу і, як наслідок, розширення офісних площ, в той же час залишаючись дуже вимогливими щодо якості, ефективності та вартості офісних приміщень.</w:t>
      </w:r>
    </w:p>
    <w:p w:rsidR="00653EE0" w:rsidRPr="009457BA" w:rsidRDefault="00653EE0" w:rsidP="00653EE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У період з 2000 року до вересня 2008 року спостерігалося щорічне зростання попиту на офісні приміщення в Київі, який досягнув найвищого значення в 3 кварталі 2008 року. У 2010 році з усього обсягу орендованих офісних приміщень офіси площею 100 – 500 кв. м та 501 – 1000 кв. м користувалися попитом рівною мірою. Частка угод оренди приміщень площею понад 3 000 кв. м склала близько 8% від загальної кількості угод, зареєстрованих протягом року у місті.</w:t>
      </w:r>
    </w:p>
    <w:p w:rsidR="00653EE0" w:rsidRPr="009457BA" w:rsidRDefault="00653EE0" w:rsidP="00653EE0">
      <w:pPr>
        <w:spacing w:after="0" w:line="360" w:lineRule="auto"/>
        <w:ind w:firstLine="697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 той же час 2010 рік відзначився відновленням попиту на офіси площею 75 – 150 кв. м в центрі Київа. Попит на такі приміщення було сформовано компаніями, що виходили на український ринок та спочатку вели діяльність через невеликі офіси представництв.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Оскільки показник площі офісних приміщень на рівні 1 кв. м на душу населення вважається за нормальний та безпечний для столиць країн Центральної та Східної Європи, виходячи суто із кількості жителів міста Київ можна заключити, що загальна площа сучасних офісних приміщень у Київі може бути достатньою на рівні близько 2,8 мильйонів кв. м.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До кінця 2012 року близько 305 000 кв. м офісних приміщень повинно бути введено до експлуатації у м. Київ, отже, загальний обсяг офісних приміщень досягне 1 580 000 кв. м.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Проте слід пам’ятати, що значна кількість існуючих офісних приміщень столиці представляє собою другорядні офіси, що утворені на базі колишніх адміністративних будівель промислових зон.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Тим не менш очевидно, що враховуючи економічну та інституційну ситуацію в Україні та її геополітичну роль та інвестиційну привабливість,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фактичний рівень обсягу офісних приміщень у Києві буде нижчим, ніж для порівнюваних столиць країн Центральної та Східної Європи. Крім того, у рамках будь-якої моделі слід приймати до уваги економічний спад, що зараз спостерігається.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Оцінки стосовно орендних ставок на офісні приміщення та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паркомісця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в проекті «Київ-Сіті» відображають середньозважені ринкові значення орендних ставок на основі оцінки їх оптимістичного та песимістичного значень, що можуть бути досяжними протягом операційного періоду першої фази проекту.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Прогнози базуються на значеннях орендних ставок, які сформувалися в аналогічних масштабних міських проектах в Європі, і, як правило, є на 20 – 25% нижчими від орендних ставок на найкращі офісні приміщення в Центральному діловому районі цих міст (табл.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орендні ставки на офісні приміщення,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Орендна ставка в місяць**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без ПДВ та сервісних платежів</w:t>
            </w:r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Спекулятивні офісні приміщення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20,5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Крита паркова в офісних будівлях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70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Незалежно від майбутньої загальної динаміки ринку офісної нерухомості у Києві, очікується поступове зростання орендних ставок в проекті «Київ-Сіті» під впливом виключно внутрішніх факторів, таких як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розвиток проекту та досягнення ним критичної маси. За інших однакових умов, виходячи з даного припущення орендні ставки можуть досягати значення 23 – 32</w:t>
      </w:r>
      <w:r w:rsidRPr="009457BA">
        <w:rPr>
          <w:rFonts w:ascii="Times New Roman" w:hAnsi="Times New Roman"/>
          <w:sz w:val="28"/>
          <w:szCs w:val="28"/>
        </w:rPr>
        <w:t>$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за кв. м в місяць на офісні приміщення та 80 – 120</w:t>
      </w:r>
      <w:r w:rsidRPr="009457BA">
        <w:rPr>
          <w:rFonts w:ascii="Times New Roman" w:hAnsi="Times New Roman"/>
          <w:sz w:val="28"/>
          <w:szCs w:val="28"/>
        </w:rPr>
        <w:t>$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в місяць за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машиномісце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у паркові на пізніших стадіях розвитку проекту.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 прогнозах було дотримано консервативний підхід, враховуючи поточні кризові явища на ринку і не беручи до уваги структурний дефіцит офісних приміщень на ринку офісної нерухомості м. Київ, а також його визнаний високий потенціал.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sz w:val="28"/>
          <w:szCs w:val="28"/>
          <w:lang w:val="uk-UA"/>
        </w:rPr>
        <w:t>Житло</w:t>
      </w:r>
      <w:r w:rsidRPr="009457BA">
        <w:rPr>
          <w:rFonts w:ascii="Times New Roman" w:hAnsi="Times New Roman"/>
          <w:sz w:val="28"/>
          <w:szCs w:val="28"/>
          <w:lang w:val="uk-UA"/>
        </w:rPr>
        <w:t>. Квартири з оздобленням та вбудованими кухнями у житловій частині проекту «Київ-Сіті» можуть користуватися дуже високим попитом з боку потенційних покупців. Проте, зважаючи на загальну практику, що склалася на первинному ринку житлової нерухомості в Києві, доцільно здавати житлові будинки в експлуатацію у стані, підготовленому під фінішне оздоблення.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Прогнози доходів від реалізації квартир та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машиномісць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в житлових будинках у складі проекту «Київ-Сіті» зроблені на основі припущень стосовно цін продажу квартир за 1 кв. м та одного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машиномісця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 xml:space="preserve"> (табл.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Незалежно від майбутньої загальної динаміки ринку житлової нерухомості у Києві, яку неможливо спрогнозувати на наступні 20 – 25 років, очікується, що ціни на квартири в проекті «Київ-Сіті» будуть зростати у середньому на 3 – 5% на рік в результаті подальшого розвитку проекту та формування його стійкого сприйняття як привабливого та комфортного житлового району. З огляду на це припущення ціни на квартири можуть досягти рівня 2 200 – 3 600</w:t>
      </w:r>
      <w:r w:rsidRPr="009457BA">
        <w:rPr>
          <w:rFonts w:ascii="Times New Roman" w:hAnsi="Times New Roman"/>
          <w:sz w:val="28"/>
          <w:szCs w:val="28"/>
        </w:rPr>
        <w:t>$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за кв. м на пізніших стадіях реалізації проекту.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ціни на квартири,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Ціна**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площі квартир та </w:t>
            </w: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машиномісце</w:t>
            </w:r>
            <w:proofErr w:type="spellEnd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</w:t>
            </w: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парковці</w:t>
            </w:r>
            <w:proofErr w:type="spellEnd"/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Квартири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1300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2100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1700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Машиномісця</w:t>
            </w:r>
            <w:proofErr w:type="spellEnd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 підземній </w:t>
            </w: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парковці</w:t>
            </w:r>
            <w:proofErr w:type="spellEnd"/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15000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20000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17500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 прогнозах було дотримано консервативний підхід, враховуючи поточні кризові явища на ринку і не беручи до уваги структурний дефіцит доступного та якісного житла на ринку житлової нерухомості м. Київ, а також визнаний високий потенціал цього сегменту ринку.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sz w:val="28"/>
          <w:szCs w:val="28"/>
          <w:lang w:val="uk-UA"/>
        </w:rPr>
        <w:t>Готелі</w:t>
      </w:r>
      <w:r w:rsidRPr="009457BA">
        <w:rPr>
          <w:rFonts w:ascii="Times New Roman" w:hAnsi="Times New Roman"/>
          <w:sz w:val="28"/>
          <w:szCs w:val="28"/>
          <w:lang w:val="uk-UA"/>
        </w:rPr>
        <w:t>. Згідно з даними Всесвітньої Ради Подорожей та Туризму (</w:t>
      </w:r>
      <w:r w:rsidRPr="009457BA">
        <w:rPr>
          <w:rFonts w:ascii="Times New Roman" w:hAnsi="Times New Roman"/>
          <w:sz w:val="28"/>
          <w:szCs w:val="28"/>
        </w:rPr>
        <w:t>WTTC)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кількість відвідувачів в Україні зросте з 20 мільйонів осіб у 2012 році до 25,87 мільйонів відвідувачів у 2022 році. Високі темпи зростання відвідувань в період між 2002 та 2012 роками відповідають динаміці ринку, що знаходиться на етапі становлення, і очікується, що кількість відвідувачів стабілізується в момент становлення ринку.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Міжнародні туристичні потоки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5"/>
        <w:gridCol w:w="2450"/>
        <w:gridCol w:w="2335"/>
        <w:gridCol w:w="2451"/>
      </w:tblGrid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Рік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Міжнародні туристичні потоки (млн.)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Рік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Міжнародні туристичні потоки (млн.)</w:t>
            </w:r>
          </w:p>
        </w:tc>
      </w:tr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2002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2008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</w:tr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2003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2009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2004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2010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2005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2011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</w:tr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2006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2012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</w:tr>
      <w:tr w:rsidR="00653EE0" w:rsidRPr="009457BA" w:rsidTr="00583207"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2007</w:t>
            </w:r>
          </w:p>
        </w:tc>
        <w:tc>
          <w:tcPr>
            <w:tcW w:w="2571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2022</w:t>
            </w:r>
          </w:p>
        </w:tc>
        <w:tc>
          <w:tcPr>
            <w:tcW w:w="2572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25,87</w:t>
            </w:r>
          </w:p>
        </w:tc>
      </w:tr>
    </w:tbl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Згідно з Державною службою туризму та курортів в Україні, Київ є найбільш відвідуваним містом в країні, залучаючи понад 30% від загальної кількості іноземних туристів. Отже, даний показник відображає очікуване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зростання кількості відвідувачів у Києві з 6 мільйонів туристів у 2012 році до 7,8 мільйонів осіб у 2022 році припускаючи, що привабливість міста не зміниться.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Наявний загальний обсяг пропозиції на ринку готельної нерухомості у Києві становить 9 800 номерів, з яких 6 444 можуть бути розглянуті як якісні готельні номери. Аналіз майбутньої пропозиції на ринку готельної нерухомості виявив додаткові 1 468 номерів, заявлених до реалізації, що відображають 22,8% від загальної кількості якісних номерів.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Виходячи з попереднього дослідження ринку, можна зробити прогнозування попиту на міжнародні мережеві готелі у Києві, враховуючи загальну пропозицію. Сценарії попиту засновуються на припущенні середньорічного зростання на рівні 3,9% до 2022 року (</w:t>
      </w:r>
      <w:r w:rsidRPr="009457BA">
        <w:rPr>
          <w:rFonts w:ascii="Times New Roman" w:hAnsi="Times New Roman"/>
          <w:sz w:val="28"/>
          <w:szCs w:val="28"/>
        </w:rPr>
        <w:t>WTTC</w:t>
      </w:r>
      <w:r w:rsidRPr="009457BA">
        <w:rPr>
          <w:rFonts w:ascii="Times New Roman" w:hAnsi="Times New Roman"/>
          <w:sz w:val="28"/>
          <w:szCs w:val="28"/>
          <w:lang w:val="uk-UA"/>
        </w:rPr>
        <w:t>, Прогноз зросту ринку подорожей та туризму в Україні). Середня ринкова завантаженість готелів була протестована, базуючись на двох сценаріях: 60% та 65%. Засновуючись на цих прогнозах, можна зробити прогноз щодо попиту на нову пропозицію готельних номерів до 2022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 попиту на готельні номери до 2022 року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653EE0" w:rsidRPr="009457BA" w:rsidTr="00583207">
        <w:tc>
          <w:tcPr>
            <w:tcW w:w="3190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Сценарій</w:t>
            </w:r>
          </w:p>
        </w:tc>
        <w:tc>
          <w:tcPr>
            <w:tcW w:w="3190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Змінні параметри</w:t>
            </w:r>
          </w:p>
        </w:tc>
        <w:tc>
          <w:tcPr>
            <w:tcW w:w="3190" w:type="dxa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Додатковий попит до 2022 року</w:t>
            </w:r>
          </w:p>
        </w:tc>
      </w:tr>
      <w:tr w:rsidR="00653EE0" w:rsidRPr="009457BA" w:rsidTr="00583207">
        <w:trPr>
          <w:trHeight w:val="225"/>
        </w:trPr>
        <w:tc>
          <w:tcPr>
            <w:tcW w:w="3190" w:type="dxa"/>
            <w:vMerge w:val="restart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60% завантаженість</w:t>
            </w: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Кількість додаткових ночей у готелях</w:t>
            </w: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1 000 999</w:t>
            </w:r>
          </w:p>
        </w:tc>
      </w:tr>
      <w:tr w:rsidR="00653EE0" w:rsidRPr="009457BA" w:rsidTr="00583207">
        <w:trPr>
          <w:trHeight w:val="225"/>
        </w:trPr>
        <w:tc>
          <w:tcPr>
            <w:tcW w:w="3190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Кількість додаткових номерів</w:t>
            </w: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2 742</w:t>
            </w:r>
          </w:p>
        </w:tc>
      </w:tr>
      <w:tr w:rsidR="00653EE0" w:rsidRPr="009457BA" w:rsidTr="00583207">
        <w:trPr>
          <w:trHeight w:val="225"/>
        </w:trPr>
        <w:tc>
          <w:tcPr>
            <w:tcW w:w="3190" w:type="dxa"/>
            <w:vMerge w:val="restart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65% завантаженість</w:t>
            </w: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Кількість додаткових ночей у готелях</w:t>
            </w: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1 084 416</w:t>
            </w:r>
          </w:p>
        </w:tc>
      </w:tr>
      <w:tr w:rsidR="00653EE0" w:rsidRPr="009457BA" w:rsidTr="00583207">
        <w:trPr>
          <w:trHeight w:val="225"/>
        </w:trPr>
        <w:tc>
          <w:tcPr>
            <w:tcW w:w="3190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Кількість додаткових номерів</w:t>
            </w:r>
          </w:p>
        </w:tc>
        <w:tc>
          <w:tcPr>
            <w:tcW w:w="3190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2 971</w:t>
            </w:r>
          </w:p>
        </w:tc>
      </w:tr>
    </w:tbl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 xml:space="preserve">Отже, використовуючи найбільш консервативний підхід до визначення попиту, мінімум 2 742 номери будуть необхідні до 2020 року, що є еквівалентом приблизно 14 готелів (у середньому по 200 номерів). </w:t>
      </w: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Використовуючи найбільш оптимістичний підхід, попит може становити до 15 готелів (у середньому по 200 номерів кожний). Цей підхід не враховує ефект канібалізму попиту для існуючих готелів.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При цьому аналіз попиту на ринку готельної нерухомості виявив, що майбутня пропозиція, заявлена до реалізації у місті Київ на час аналізу, відображає лише 49,4 – 53,5% від загальної потреби у якісних номерах до 2022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Варто звернути увагу також на те, що ці прогнози дуже чутливі до загальних економічних та геополітичних темпів розвитку України та зміцнення її інвестиційної привабливості.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Прогнози доходів від продажу готельних номерів базуються на припущеннях щодо середньої вартості номера на добу залежно від категорії готелю, а саме:</w:t>
      </w:r>
    </w:p>
    <w:p w:rsidR="00653EE0" w:rsidRPr="009457BA" w:rsidRDefault="00653EE0" w:rsidP="00653EE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готелі 4-х зіркові на рівні 130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$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за номер впродовж першого року експлуатації з подальшим зростанням до 150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$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за номер протягом п’ятого стабілізаційного року експлуатації;</w:t>
      </w:r>
    </w:p>
    <w:p w:rsidR="00653EE0" w:rsidRPr="009457BA" w:rsidRDefault="00653EE0" w:rsidP="00653EE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готелі 3-х зіркові на рівні 80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$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за номер впродовж першого року експлуатації з подальшим зростанням до 102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$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за номер протягом п’ятого стабілізаційного року експлуатації;</w:t>
      </w:r>
    </w:p>
    <w:p w:rsidR="00653EE0" w:rsidRPr="009457BA" w:rsidRDefault="00653EE0" w:rsidP="00653EE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готелі 2-х зіркові на рівні 55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$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за номер впродовж першого року експлуатації з подальшим зростанням до 72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</w:rPr>
        <w:t>$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 за номер протягом п’ятого стабілізаційного року експлуатації.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Доходи від оперування готелів скориговані на прогнозований рівень наповненості номерів, що коливається різною мірою залежно від категорії готелю, а саме:</w:t>
      </w:r>
    </w:p>
    <w:p w:rsidR="00653EE0" w:rsidRPr="009457BA" w:rsidRDefault="00653EE0" w:rsidP="00653EE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готелі 4-х зіркові від 48% до 56% впродовж перших трьох років експлуатації з подальшою стабілізацією на рівні 62%;</w:t>
      </w:r>
    </w:p>
    <w:p w:rsidR="00653EE0" w:rsidRPr="009457BA" w:rsidRDefault="00653EE0" w:rsidP="00653EE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готелі 3-х зіркові від 50% до 68% впродовж перших трьох років експлуатації з подальшою стабілізацією на рівні 72%;</w:t>
      </w:r>
    </w:p>
    <w:p w:rsidR="00653EE0" w:rsidRPr="009457BA" w:rsidRDefault="00653EE0" w:rsidP="00653EE0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готелі 2-х зіркові від 60% до 70% впродовж перших чотирьох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років експлуатації з подальшою стабілізацією на рівні 72%.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Як частина загальних доходів від експлуатації готелів було враховано доходи від супутніх внутрішніх бізнес-напрямків – об’єктів громадського харчування, послуг телефонізації та інших.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Конференц-центри і приміщення для проведення зустричей та переговорів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Для цілей цього аналізу було зроблено припущення, що конференц-центр у проекті «Київ-Сіті» буде побудований та експлуатуватися у складі готелів. Наведені нижче прогнозовані значення орендних ставок засновані на припущенні, що приміщення під конференц-центри будуть здаватися в оренду відповідним операторам у стані «без оздоблення» (табл.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орендні ставки на приміщення </w:t>
      </w:r>
      <w:proofErr w:type="spellStart"/>
      <w:r w:rsidRPr="009457BA">
        <w:rPr>
          <w:rFonts w:ascii="Times New Roman" w:hAnsi="Times New Roman"/>
          <w:sz w:val="28"/>
          <w:szCs w:val="28"/>
          <w:lang w:val="uk-UA"/>
        </w:rPr>
        <w:t>конференц-центрів</w:t>
      </w:r>
      <w:proofErr w:type="spellEnd"/>
      <w:r w:rsidRPr="009457BA">
        <w:rPr>
          <w:rFonts w:ascii="Times New Roman" w:hAnsi="Times New Roman"/>
          <w:sz w:val="28"/>
          <w:szCs w:val="28"/>
          <w:lang w:val="uk-UA"/>
        </w:rPr>
        <w:t>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Орендна ставка в місяць**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без ПДВ та сервісних платежів</w:t>
            </w:r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Конференц-центр</w:t>
            </w:r>
            <w:proofErr w:type="spellEnd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№1 (4-й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16,5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Конференц-центр</w:t>
            </w:r>
            <w:proofErr w:type="spellEnd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№2 (9-й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 xml:space="preserve">Орендні ставки на приміщення конференц-центру можуть зростати на 10 – 20% на більш пізніх стадіях реалізації проекту, за умов їх здачі 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lastRenderedPageBreak/>
        <w:t>відповідним операторам.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noProof/>
          <w:color w:val="000000"/>
          <w:position w:val="3"/>
          <w:sz w:val="28"/>
          <w:szCs w:val="28"/>
          <w:lang w:val="uk-UA"/>
        </w:rPr>
        <w:t>Торговельні приміщення на перших поверхах офісних будівель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. Торговельні приміщення у складі офісної частини проекту «Київ-Сіті» будуть здаватися в оренду відповідним торговельним операторам у стані «без оздоблення» (табл. 3.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орендні ставки на торговельні приміщення на перших поверхах,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Орендна ставка в місяць**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без ПДВ та сервісних платежів</w:t>
            </w:r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Торговельні приміщення на перших поверхах офісних будівель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Очікується, що орендні ставки на торговельні приміщення на перших поверхах офісних будівель будуть поступово зростати під впливом внутрішніх факторів – зростання популярності проекту серед користувачів, досягнення ним критичної маси, і, як наслідок, збільшення кількості відвідувачів торговельних об’єктів. З огляду на дане припущення, на більш пізніх стадіях розвитку проекту, орендна ставка на торговельні приміщення може досягти значення 25 – 34</w:t>
      </w:r>
      <w:r w:rsidRPr="009457BA">
        <w:rPr>
          <w:rFonts w:ascii="Times New Roman" w:hAnsi="Times New Roman"/>
          <w:sz w:val="28"/>
          <w:szCs w:val="28"/>
        </w:rPr>
        <w:t>$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за кв. м торговельної площі на місяць.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sz w:val="28"/>
          <w:szCs w:val="28"/>
          <w:lang w:val="uk-UA"/>
        </w:rPr>
        <w:t>Торговельний центр великого формату</w:t>
      </w:r>
      <w:r w:rsidRPr="009457BA">
        <w:rPr>
          <w:rFonts w:ascii="Times New Roman" w:hAnsi="Times New Roman"/>
          <w:sz w:val="28"/>
          <w:szCs w:val="28"/>
          <w:lang w:val="uk-UA"/>
        </w:rPr>
        <w:t>. Торговельні приміщення у ТРЦ, що перспективно буде побудований у складі проекту «Київ-Сіті», будуть здаватися в оренду якісним операторам відомих торговельних мереж в стані «без оздоблення» (з оздобленням лише площ загального користування, що не здаються в оренду) (табл.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lastRenderedPageBreak/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орендні ставки на торговельні приміщення в ТРЦ,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Орендна ставка в місяць**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без ПДВ та сервісних платежів</w:t>
            </w:r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Продуктовий супермаркет / </w:t>
            </w:r>
            <w:proofErr w:type="spellStart"/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гіпермаркет</w:t>
            </w:r>
            <w:proofErr w:type="spellEnd"/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13,5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Торговельна галерея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36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Окрім базових орендних ставок на приміщення у перспективному ТРЦ буде також застосовано орендну плату як відсоток від товарообороту орендарів – торговельних операторів. Орендна плата як відсоток від товарообороту орендаря застосовується лише в тих випадках, коли цей показник перевищує базову фіксовану орендну ставку, яка передбачена договором оренди.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Торговельні об’єкти подібного формату можуть, окрім основного доходу, потенційно генерувати додатковий дохід (площі під рекламні вивіски на фасаді будівлі, виставкові площі в проходах та коридорах тощо), але, зважаючи на масштабність проекту в цілому, даний дохід є несуттєвим, тому не був включений в прогноз доходів.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sz w:val="28"/>
          <w:szCs w:val="28"/>
          <w:lang w:val="uk-UA"/>
        </w:rPr>
        <w:t>Спортивні заклади</w:t>
      </w:r>
      <w:r w:rsidRPr="009457BA">
        <w:rPr>
          <w:rFonts w:ascii="Times New Roman" w:hAnsi="Times New Roman"/>
          <w:sz w:val="28"/>
          <w:szCs w:val="28"/>
          <w:lang w:val="uk-UA"/>
        </w:rPr>
        <w:t>. Спортивні заклади у складі проекту будуть здаватися в оренду відповідним операторам (фітнес-центри, спортивні клуби) у стані «без оздоблення» (табл.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орендні ставки на приміщення спортивних закладів,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Орендна ставка в місяць**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без ПДВ та сервісних платежів</w:t>
            </w:r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Приватний спортивний заклад (1-й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Приватний спортивний заклад (4-й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9,5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Приватний спортивний заклад (11-й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10,5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i/>
          <w:sz w:val="28"/>
          <w:szCs w:val="28"/>
          <w:lang w:val="uk-UA"/>
        </w:rPr>
        <w:t>Приватні медичні заклади (клініки)</w:t>
      </w:r>
      <w:r w:rsidRPr="009457BA">
        <w:rPr>
          <w:rFonts w:ascii="Times New Roman" w:hAnsi="Times New Roman"/>
          <w:sz w:val="28"/>
          <w:szCs w:val="28"/>
          <w:lang w:val="uk-UA"/>
        </w:rPr>
        <w:t>. Приміщення під розміщення приватних медичних закладів та клінік у складі проекту «Київ-Сіті», будуть здаватися в оренду в стані «без оздоблення» відповідним операторам медичних установ (табл.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>).</w:t>
      </w:r>
    </w:p>
    <w:p w:rsidR="00653EE0" w:rsidRPr="009457BA" w:rsidRDefault="00653EE0" w:rsidP="00653EE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Таблиця 3.</w:t>
      </w:r>
      <w:r w:rsidRPr="009457BA">
        <w:rPr>
          <w:rFonts w:ascii="Times New Roman" w:hAnsi="Times New Roman"/>
          <w:sz w:val="28"/>
          <w:szCs w:val="28"/>
          <w:highlight w:val="yellow"/>
          <w:lang w:val="uk-UA"/>
        </w:rPr>
        <w:t>??</w:t>
      </w:r>
      <w:r w:rsidRPr="009457BA">
        <w:rPr>
          <w:rFonts w:ascii="Times New Roman" w:hAnsi="Times New Roman"/>
          <w:sz w:val="28"/>
          <w:szCs w:val="28"/>
          <w:lang w:val="uk-UA"/>
        </w:rPr>
        <w:t xml:space="preserve"> – Прогнозовані орендні ставки на приміщення медичних установ, що можуть бути досяжними в проекті «Київ-Сіті»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2"/>
        <w:gridCol w:w="2393"/>
        <w:gridCol w:w="2393"/>
      </w:tblGrid>
      <w:tr w:rsidR="00653EE0" w:rsidRPr="009457BA" w:rsidTr="00583207">
        <w:tc>
          <w:tcPr>
            <w:tcW w:w="2392" w:type="dxa"/>
            <w:vMerge w:val="restart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Тип приміщення</w:t>
            </w:r>
          </w:p>
        </w:tc>
        <w:tc>
          <w:tcPr>
            <w:tcW w:w="7178" w:type="dxa"/>
            <w:gridSpan w:val="3"/>
            <w:vAlign w:val="center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Орендна ставка в місяць** (</w:t>
            </w:r>
            <w:r w:rsidRPr="009457BA">
              <w:rPr>
                <w:rFonts w:ascii="Times New Roman" w:hAnsi="Times New Roman"/>
                <w:sz w:val="28"/>
                <w:szCs w:val="28"/>
              </w:rPr>
              <w:t>$</w:t>
            </w: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за кв. м) без ПДВ та сервісних платежів</w:t>
            </w:r>
          </w:p>
        </w:tc>
      </w:tr>
      <w:tr w:rsidR="00653EE0" w:rsidRPr="009457BA" w:rsidTr="00583207">
        <w:tc>
          <w:tcPr>
            <w:tcW w:w="2392" w:type="dxa"/>
            <w:vMerge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песимістична</w:t>
            </w:r>
          </w:p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оптимістична (50%)*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середньозважена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Приватна лікарня / клініка (5-й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21,5</w:t>
            </w:r>
          </w:p>
        </w:tc>
      </w:tr>
      <w:tr w:rsidR="00653EE0" w:rsidRPr="009457BA" w:rsidTr="00583207"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Приватна лікарня / клініка (11-й операційний рік проекту)</w:t>
            </w:r>
          </w:p>
        </w:tc>
        <w:tc>
          <w:tcPr>
            <w:tcW w:w="2392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393" w:type="dxa"/>
          </w:tcPr>
          <w:p w:rsidR="00653EE0" w:rsidRPr="009457BA" w:rsidRDefault="00653EE0" w:rsidP="00583207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457BA"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</w:tr>
    </w:tbl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 В дужках – питома вага, надана різним оцінкам орендних ставок.</w:t>
      </w:r>
    </w:p>
    <w:p w:rsidR="00653EE0" w:rsidRPr="009457BA" w:rsidRDefault="00653EE0" w:rsidP="00653EE0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457BA">
        <w:rPr>
          <w:rFonts w:ascii="Times New Roman" w:hAnsi="Times New Roman"/>
          <w:sz w:val="28"/>
          <w:szCs w:val="28"/>
          <w:lang w:val="uk-UA"/>
        </w:rPr>
        <w:t>** Значення базуються на аналізі поточних ринкових умов і офіційному курсі станом на липень 2012 року.</w:t>
      </w:r>
    </w:p>
    <w:p w:rsidR="00FD1633" w:rsidRDefault="00FD1633">
      <w:bookmarkStart w:id="0" w:name="_GoBack"/>
      <w:bookmarkEnd w:id="0"/>
    </w:p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E6971"/>
    <w:multiLevelType w:val="hybridMultilevel"/>
    <w:tmpl w:val="C5A49D42"/>
    <w:lvl w:ilvl="0" w:tplc="3BB291F4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C3"/>
    <w:rsid w:val="004867C3"/>
    <w:rsid w:val="00653EE0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E0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3E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EE0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53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2315</Words>
  <Characters>13197</Characters>
  <Application>Microsoft Office Word</Application>
  <DocSecurity>0</DocSecurity>
  <Lines>109</Lines>
  <Paragraphs>30</Paragraphs>
  <ScaleCrop>false</ScaleCrop>
  <Company/>
  <LinksUpToDate>false</LinksUpToDate>
  <CharactersWithSpaces>15482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2013-07-18T08:51:00Z</dcterms:created>
  <dcterms:modified xsi:type="dcterms:W3CDTF">2013-07-18T08:51:00Z</dcterms:modified>
</cp:coreProperties>
</file>