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072B" w:rsidRPr="009457BA" w:rsidRDefault="00E4072B" w:rsidP="00E4072B">
      <w:pPr>
        <w:spacing w:after="0" w:line="360" w:lineRule="auto"/>
        <w:ind w:firstLine="697"/>
        <w:jc w:val="both"/>
        <w:rPr>
          <w:rFonts w:ascii="Times New Roman" w:hAnsi="Times New Roman"/>
          <w:b/>
          <w:noProof/>
          <w:color w:val="000000"/>
          <w:position w:val="3"/>
          <w:sz w:val="28"/>
          <w:szCs w:val="28"/>
          <w:lang w:val="uk-UA"/>
        </w:rPr>
      </w:pPr>
      <w:bookmarkStart w:id="0" w:name="_GoBack"/>
      <w:r w:rsidRPr="009457BA">
        <w:rPr>
          <w:rFonts w:ascii="Times New Roman" w:hAnsi="Times New Roman"/>
          <w:b/>
          <w:noProof/>
          <w:color w:val="000000"/>
          <w:position w:val="3"/>
          <w:sz w:val="28"/>
          <w:szCs w:val="28"/>
          <w:lang w:val="uk-UA"/>
        </w:rPr>
        <w:t>3.3.1.5. Орендарі готельної нерухомості м. Київ, конференц-приміщення</w:t>
      </w:r>
    </w:p>
    <w:bookmarkEnd w:id="0"/>
    <w:p w:rsidR="00E4072B" w:rsidRPr="009457BA" w:rsidRDefault="00E4072B" w:rsidP="00E4072B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i/>
          <w:noProof/>
          <w:color w:val="000000"/>
          <w:position w:val="3"/>
          <w:sz w:val="28"/>
          <w:szCs w:val="28"/>
          <w:lang w:val="uk-UA"/>
        </w:rPr>
        <w:t>Готелі</w:t>
      </w: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. Ринок готельної нерухомості може бути розділений на дві категорії: міжнародні мережеві готелі преміум класу/готелі вищої та вище середньої цінової категорії та самостійно оперовані локальні готелі. Міжнародний бізнес-сегмент є майже єдиним користувачем мережевих готелів. Сегмент відпочинку та розваг повністю представлений локальними, не мережевими операторами. Консультації з міжнародними мережевими операторами готельної нерухомості, присутніми на національному ринку, виявили очікування зниження попиту в коротко та середньостроковій перспективі в сегменті міжнародних мережевих готелів преміум класу/вищої та вище середньої цінової категорії в розмірі до 25%.</w:t>
      </w:r>
    </w:p>
    <w:p w:rsidR="00E4072B" w:rsidRPr="009457BA" w:rsidRDefault="00E4072B" w:rsidP="00E4072B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 xml:space="preserve">За даними Державного комітету статистики, на 2011 рік у Києві налічувалося 133 готеля та інших закладів короткострокового проживання, або 9807 номерів, більшість з яких представлені в локальному економ-сегменті. Близько 27% від всієї якісної пропозиції готельних номерів у м. Київ оперовані міжнародними готельними операторами. Якісні конкурентоспроможні готелі у м. Київ включають наступні: </w:t>
      </w:r>
      <w:r w:rsidRPr="009457BA">
        <w:rPr>
          <w:rFonts w:ascii="Times New Roman" w:hAnsi="Times New Roman"/>
          <w:noProof/>
          <w:color w:val="000000"/>
          <w:spacing w:val="-5"/>
          <w:position w:val="3"/>
          <w:sz w:val="28"/>
          <w:szCs w:val="28"/>
        </w:rPr>
        <w:t>Hyatt,</w:t>
      </w:r>
      <w:r w:rsidRPr="009457BA">
        <w:rPr>
          <w:rFonts w:ascii="Times New Roman" w:hAnsi="Times New Roman"/>
          <w:noProof/>
          <w:color w:val="000000"/>
          <w:spacing w:val="-5"/>
          <w:position w:val="3"/>
          <w:sz w:val="28"/>
          <w:szCs w:val="28"/>
          <w:lang w:val="uk-UA"/>
        </w:rPr>
        <w:t xml:space="preserve"> </w:t>
      </w:r>
      <w:r w:rsidRPr="009457BA">
        <w:rPr>
          <w:rFonts w:ascii="Times New Roman" w:hAnsi="Times New Roman"/>
          <w:noProof/>
          <w:color w:val="000000"/>
          <w:spacing w:val="-5"/>
          <w:position w:val="3"/>
          <w:sz w:val="28"/>
          <w:szCs w:val="28"/>
        </w:rPr>
        <w:t>Intercontinental,</w:t>
      </w:r>
      <w:r w:rsidRPr="009457BA">
        <w:rPr>
          <w:rFonts w:ascii="Times New Roman" w:hAnsi="Times New Roman"/>
          <w:noProof/>
          <w:color w:val="000000"/>
          <w:spacing w:val="-5"/>
          <w:position w:val="3"/>
          <w:sz w:val="28"/>
          <w:szCs w:val="28"/>
          <w:lang w:val="uk-UA"/>
        </w:rPr>
        <w:t xml:space="preserve">  </w:t>
      </w:r>
      <w:r w:rsidRPr="009457BA">
        <w:rPr>
          <w:rFonts w:ascii="Times New Roman" w:hAnsi="Times New Roman"/>
          <w:noProof/>
          <w:color w:val="000000"/>
          <w:spacing w:val="-5"/>
          <w:position w:val="3"/>
          <w:sz w:val="28"/>
          <w:szCs w:val="28"/>
        </w:rPr>
        <w:t>Radisson</w:t>
      </w:r>
      <w:r w:rsidRPr="009457BA">
        <w:rPr>
          <w:rFonts w:ascii="Times New Roman" w:hAnsi="Times New Roman"/>
          <w:noProof/>
          <w:color w:val="000000"/>
          <w:spacing w:val="-5"/>
          <w:position w:val="3"/>
          <w:sz w:val="28"/>
          <w:szCs w:val="28"/>
          <w:lang w:val="uk-UA"/>
        </w:rPr>
        <w:t xml:space="preserve"> </w:t>
      </w:r>
      <w:r w:rsidRPr="009457BA">
        <w:rPr>
          <w:rFonts w:ascii="Times New Roman" w:hAnsi="Times New Roman"/>
          <w:noProof/>
          <w:color w:val="000000"/>
          <w:spacing w:val="-3"/>
          <w:position w:val="3"/>
          <w:sz w:val="28"/>
          <w:szCs w:val="28"/>
        </w:rPr>
        <w:t>Blu,</w:t>
      </w:r>
      <w:r w:rsidRPr="009457BA">
        <w:rPr>
          <w:rFonts w:ascii="Times New Roman" w:hAnsi="Times New Roman"/>
          <w:noProof/>
          <w:color w:val="000000"/>
          <w:spacing w:val="-3"/>
          <w:position w:val="3"/>
          <w:sz w:val="28"/>
          <w:szCs w:val="28"/>
          <w:lang w:val="uk-UA"/>
        </w:rPr>
        <w:t xml:space="preserve"> </w:t>
      </w:r>
      <w:r w:rsidRPr="009457BA">
        <w:rPr>
          <w:rFonts w:ascii="Times New Roman" w:hAnsi="Times New Roman"/>
          <w:noProof/>
          <w:color w:val="000000"/>
          <w:spacing w:val="-1"/>
          <w:position w:val="3"/>
          <w:sz w:val="28"/>
          <w:szCs w:val="28"/>
        </w:rPr>
        <w:t>«</w:t>
      </w:r>
      <w:r w:rsidRPr="009457BA">
        <w:rPr>
          <w:rFonts w:ascii="Times New Roman" w:hAnsi="Times New Roman"/>
          <w:noProof/>
          <w:color w:val="000000"/>
          <w:spacing w:val="-4"/>
          <w:sz w:val="28"/>
          <w:szCs w:val="28"/>
        </w:rPr>
        <w:t>Опера</w:t>
      </w:r>
      <w:r w:rsidRPr="009457BA">
        <w:rPr>
          <w:rFonts w:ascii="Times New Roman" w:hAnsi="Times New Roman"/>
          <w:noProof/>
          <w:color w:val="000000"/>
          <w:spacing w:val="-3"/>
          <w:position w:val="3"/>
          <w:sz w:val="28"/>
          <w:szCs w:val="28"/>
        </w:rPr>
        <w:t>»,</w:t>
      </w:r>
      <w:r w:rsidRPr="009457BA">
        <w:rPr>
          <w:rFonts w:ascii="Times New Roman" w:hAnsi="Times New Roman"/>
          <w:noProof/>
          <w:color w:val="000000"/>
          <w:spacing w:val="-3"/>
          <w:position w:val="3"/>
          <w:sz w:val="28"/>
          <w:szCs w:val="28"/>
          <w:lang w:val="uk-UA"/>
        </w:rPr>
        <w:t xml:space="preserve"> </w:t>
      </w:r>
      <w:r w:rsidRPr="009457BA">
        <w:rPr>
          <w:rFonts w:ascii="Times New Roman" w:hAnsi="Times New Roman"/>
          <w:noProof/>
          <w:color w:val="000000"/>
          <w:spacing w:val="-1"/>
          <w:position w:val="3"/>
          <w:sz w:val="28"/>
          <w:szCs w:val="28"/>
        </w:rPr>
        <w:t>«</w:t>
      </w:r>
      <w:r w:rsidRPr="009457BA">
        <w:rPr>
          <w:rFonts w:ascii="Times New Roman" w:hAnsi="Times New Roman"/>
          <w:noProof/>
          <w:color w:val="000000"/>
          <w:spacing w:val="-5"/>
          <w:sz w:val="28"/>
          <w:szCs w:val="28"/>
        </w:rPr>
        <w:t>Прем</w:t>
      </w:r>
      <w:r w:rsidRPr="009457BA">
        <w:rPr>
          <w:rFonts w:ascii="Times New Roman" w:hAnsi="Times New Roman"/>
          <w:noProof/>
          <w:color w:val="000000"/>
          <w:spacing w:val="-1"/>
          <w:position w:val="3"/>
          <w:sz w:val="28"/>
          <w:szCs w:val="28"/>
        </w:rPr>
        <w:t>’</w:t>
      </w:r>
      <w:r w:rsidRPr="009457BA">
        <w:rPr>
          <w:rFonts w:ascii="Times New Roman" w:hAnsi="Times New Roman"/>
          <w:noProof/>
          <w:color w:val="000000"/>
          <w:spacing w:val="-2"/>
          <w:sz w:val="28"/>
          <w:szCs w:val="28"/>
        </w:rPr>
        <w:t>єр</w:t>
      </w:r>
      <w:r w:rsidRPr="009457BA">
        <w:rPr>
          <w:rFonts w:ascii="Times New Roman" w:hAnsi="Times New Roman"/>
          <w:noProof/>
          <w:color w:val="000000"/>
          <w:spacing w:val="-2"/>
          <w:sz w:val="28"/>
          <w:szCs w:val="28"/>
          <w:lang w:val="uk-UA"/>
        </w:rPr>
        <w:t xml:space="preserve"> </w:t>
      </w:r>
      <w:r w:rsidRPr="009457BA">
        <w:rPr>
          <w:rFonts w:ascii="Times New Roman" w:hAnsi="Times New Roman"/>
          <w:noProof/>
          <w:color w:val="000000"/>
          <w:sz w:val="28"/>
          <w:szCs w:val="28"/>
        </w:rPr>
        <w:t>Палац</w:t>
      </w:r>
      <w:r w:rsidRPr="009457BA">
        <w:rPr>
          <w:rFonts w:ascii="Times New Roman" w:hAnsi="Times New Roman"/>
          <w:noProof/>
          <w:color w:val="000000"/>
          <w:spacing w:val="-3"/>
          <w:position w:val="3"/>
          <w:sz w:val="28"/>
          <w:szCs w:val="28"/>
        </w:rPr>
        <w:t>»,</w:t>
      </w:r>
      <w:r w:rsidRPr="009457BA">
        <w:rPr>
          <w:rFonts w:ascii="Times New Roman" w:hAnsi="Times New Roman"/>
          <w:noProof/>
          <w:color w:val="000000"/>
          <w:spacing w:val="-3"/>
          <w:position w:val="3"/>
          <w:sz w:val="28"/>
          <w:szCs w:val="28"/>
          <w:lang w:val="uk-UA"/>
        </w:rPr>
        <w:t xml:space="preserve"> </w:t>
      </w:r>
      <w:r w:rsidRPr="009457BA">
        <w:rPr>
          <w:rFonts w:ascii="Times New Roman" w:hAnsi="Times New Roman"/>
          <w:noProof/>
          <w:color w:val="000000"/>
          <w:spacing w:val="-1"/>
          <w:position w:val="3"/>
          <w:sz w:val="28"/>
          <w:szCs w:val="28"/>
        </w:rPr>
        <w:t>«</w:t>
      </w:r>
      <w:r w:rsidRPr="009457BA">
        <w:rPr>
          <w:rFonts w:ascii="Times New Roman" w:hAnsi="Times New Roman"/>
          <w:noProof/>
          <w:color w:val="000000"/>
          <w:spacing w:val="1"/>
          <w:sz w:val="28"/>
          <w:szCs w:val="28"/>
        </w:rPr>
        <w:t>Рив</w:t>
      </w:r>
      <w:r w:rsidRPr="009457BA">
        <w:rPr>
          <w:rFonts w:ascii="Times New Roman" w:hAnsi="Times New Roman"/>
          <w:noProof/>
          <w:color w:val="000000"/>
          <w:spacing w:val="-1"/>
          <w:position w:val="3"/>
          <w:sz w:val="28"/>
          <w:szCs w:val="28"/>
        </w:rPr>
        <w:t>’</w:t>
      </w:r>
      <w:r w:rsidRPr="009457BA">
        <w:rPr>
          <w:rFonts w:ascii="Times New Roman" w:hAnsi="Times New Roman"/>
          <w:noProof/>
          <w:color w:val="000000"/>
          <w:sz w:val="28"/>
          <w:szCs w:val="28"/>
        </w:rPr>
        <w:t>єра</w:t>
      </w:r>
      <w:r w:rsidRPr="009457BA">
        <w:rPr>
          <w:rFonts w:ascii="Times New Roman" w:hAnsi="Times New Roman"/>
          <w:noProof/>
          <w:color w:val="000000"/>
          <w:spacing w:val="-3"/>
          <w:position w:val="3"/>
          <w:sz w:val="28"/>
          <w:szCs w:val="28"/>
        </w:rPr>
        <w:t>»,</w:t>
      </w:r>
      <w:r w:rsidRPr="009457BA">
        <w:rPr>
          <w:rFonts w:ascii="Times New Roman" w:hAnsi="Times New Roman"/>
          <w:noProof/>
          <w:color w:val="000000"/>
          <w:spacing w:val="-3"/>
          <w:position w:val="3"/>
          <w:sz w:val="28"/>
          <w:szCs w:val="28"/>
          <w:lang w:val="uk-UA"/>
        </w:rPr>
        <w:t xml:space="preserve"> </w:t>
      </w:r>
      <w:r w:rsidRPr="009457BA">
        <w:rPr>
          <w:rFonts w:ascii="Times New Roman" w:hAnsi="Times New Roman"/>
          <w:noProof/>
          <w:color w:val="000000"/>
          <w:spacing w:val="-2"/>
          <w:position w:val="3"/>
          <w:sz w:val="28"/>
          <w:szCs w:val="28"/>
        </w:rPr>
        <w:t>Ibis</w:t>
      </w:r>
      <w:r w:rsidRPr="009457BA">
        <w:rPr>
          <w:rFonts w:ascii="Times New Roman" w:hAnsi="Times New Roman"/>
          <w:noProof/>
          <w:color w:val="000000"/>
          <w:spacing w:val="-2"/>
          <w:position w:val="3"/>
          <w:sz w:val="28"/>
          <w:szCs w:val="28"/>
          <w:lang w:val="uk-UA"/>
        </w:rPr>
        <w:t xml:space="preserve">, </w:t>
      </w:r>
      <w:r w:rsidRPr="009457BA">
        <w:rPr>
          <w:rFonts w:ascii="Times New Roman" w:hAnsi="Times New Roman"/>
          <w:noProof/>
          <w:color w:val="000000"/>
          <w:spacing w:val="-5"/>
          <w:position w:val="3"/>
          <w:sz w:val="28"/>
          <w:szCs w:val="28"/>
        </w:rPr>
        <w:t>Fairmont</w:t>
      </w:r>
      <w:r w:rsidRPr="009457BA">
        <w:rPr>
          <w:rFonts w:ascii="Times New Roman" w:hAnsi="Times New Roman"/>
          <w:noProof/>
          <w:color w:val="000000"/>
          <w:spacing w:val="-5"/>
          <w:position w:val="3"/>
          <w:sz w:val="28"/>
          <w:szCs w:val="28"/>
          <w:lang w:val="uk-UA"/>
        </w:rPr>
        <w:t xml:space="preserve"> </w:t>
      </w:r>
      <w:r w:rsidRPr="009457BA">
        <w:rPr>
          <w:rFonts w:ascii="Times New Roman" w:hAnsi="Times New Roman"/>
          <w:noProof/>
          <w:color w:val="000000"/>
          <w:spacing w:val="-5"/>
          <w:position w:val="3"/>
          <w:sz w:val="28"/>
          <w:szCs w:val="28"/>
        </w:rPr>
        <w:t>Grand</w:t>
      </w:r>
      <w:r w:rsidRPr="009457BA">
        <w:rPr>
          <w:rFonts w:ascii="Times New Roman" w:hAnsi="Times New Roman"/>
          <w:noProof/>
          <w:color w:val="000000"/>
          <w:spacing w:val="-5"/>
          <w:position w:val="3"/>
          <w:sz w:val="28"/>
          <w:szCs w:val="28"/>
          <w:lang w:val="uk-UA"/>
        </w:rPr>
        <w:t xml:space="preserve"> </w:t>
      </w:r>
      <w:r w:rsidRPr="009457BA">
        <w:rPr>
          <w:rFonts w:ascii="Times New Roman" w:hAnsi="Times New Roman"/>
          <w:noProof/>
          <w:color w:val="000000"/>
          <w:spacing w:val="-5"/>
          <w:position w:val="3"/>
          <w:sz w:val="28"/>
          <w:szCs w:val="28"/>
        </w:rPr>
        <w:t>Hotel</w:t>
      </w:r>
      <w:r w:rsidRPr="009457BA">
        <w:rPr>
          <w:rFonts w:ascii="Times New Roman" w:hAnsi="Times New Roman"/>
          <w:noProof/>
          <w:color w:val="000000"/>
          <w:spacing w:val="-5"/>
          <w:position w:val="3"/>
          <w:sz w:val="28"/>
          <w:szCs w:val="28"/>
          <w:lang w:val="uk-UA"/>
        </w:rPr>
        <w:t xml:space="preserve"> </w:t>
      </w:r>
      <w:r w:rsidRPr="009457BA">
        <w:rPr>
          <w:rFonts w:ascii="Times New Roman" w:hAnsi="Times New Roman"/>
          <w:noProof/>
          <w:color w:val="000000"/>
          <w:spacing w:val="-3"/>
          <w:position w:val="3"/>
          <w:sz w:val="28"/>
          <w:szCs w:val="28"/>
        </w:rPr>
        <w:t>Kyiv</w:t>
      </w:r>
      <w:r w:rsidRPr="009457BA">
        <w:rPr>
          <w:rFonts w:ascii="Times New Roman" w:hAnsi="Times New Roman"/>
          <w:noProof/>
          <w:color w:val="000000"/>
          <w:spacing w:val="-3"/>
          <w:position w:val="3"/>
          <w:sz w:val="28"/>
          <w:szCs w:val="28"/>
          <w:lang w:val="uk-UA"/>
        </w:rPr>
        <w:t xml:space="preserve">, </w:t>
      </w:r>
      <w:r w:rsidRPr="009457BA">
        <w:rPr>
          <w:rFonts w:ascii="Times New Roman" w:hAnsi="Times New Roman"/>
          <w:noProof/>
          <w:color w:val="000000"/>
          <w:spacing w:val="-6"/>
          <w:position w:val="3"/>
          <w:sz w:val="28"/>
          <w:szCs w:val="28"/>
        </w:rPr>
        <w:t>Ramada</w:t>
      </w:r>
      <w:r w:rsidRPr="009457BA">
        <w:rPr>
          <w:rFonts w:ascii="Times New Roman" w:hAnsi="Times New Roman"/>
          <w:noProof/>
          <w:color w:val="000000"/>
          <w:w w:val="235"/>
          <w:sz w:val="28"/>
          <w:szCs w:val="28"/>
          <w:lang w:val="uk-UA"/>
        </w:rPr>
        <w:t xml:space="preserve"> </w:t>
      </w:r>
      <w:r w:rsidRPr="009457BA">
        <w:rPr>
          <w:rFonts w:ascii="Times New Roman" w:hAnsi="Times New Roman"/>
          <w:noProof/>
          <w:color w:val="000000"/>
          <w:spacing w:val="-4"/>
          <w:position w:val="3"/>
          <w:sz w:val="28"/>
          <w:szCs w:val="28"/>
        </w:rPr>
        <w:t>Encore</w:t>
      </w:r>
      <w:r w:rsidRPr="009457BA">
        <w:rPr>
          <w:rFonts w:ascii="Times New Roman" w:hAnsi="Times New Roman"/>
          <w:noProof/>
          <w:color w:val="000000"/>
          <w:spacing w:val="-4"/>
          <w:position w:val="3"/>
          <w:sz w:val="28"/>
          <w:szCs w:val="28"/>
          <w:lang w:val="uk-UA"/>
        </w:rPr>
        <w:t>.</w:t>
      </w:r>
    </w:p>
    <w:p w:rsidR="00E4072B" w:rsidRPr="009457BA" w:rsidRDefault="00E4072B" w:rsidP="00E4072B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Опитані офісні орендарі висловлюють високу зацікавленість у бізнес-готелях бюджетної і середньої цінових категорій, а також конференц-приміщеннях, які повинні бути розташовані поблизу їхніх офісних приміщень.</w:t>
      </w:r>
    </w:p>
    <w:p w:rsidR="00E4072B" w:rsidRPr="009457BA" w:rsidRDefault="00E4072B" w:rsidP="00E4072B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 xml:space="preserve">Опитані готельні оператори, які домінують в сегменті бізнес-готелів, були також потенційно зацікавлені у відкритті своїх готелів в рамках «Київ-Сіті», однак залежно від місця розташування та концепціїї проекту. На ранніх стадіях реалізації «Київ-Сіті» проект не буде мати критичної маси офісної складової, яка змогла би генерувати достатній попит для підтримання нормального функціонування готелю. Тому буль-який перспективний готель, </w:t>
      </w: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lastRenderedPageBreak/>
        <w:t>відкритий у проекті на його початковому етапі, повинен буде покладатися на переваги розташування, а також доступність із центральної частини Києва та Міжнародного аеропорту «Бориспіль».</w:t>
      </w:r>
    </w:p>
    <w:p w:rsidR="00E4072B" w:rsidRPr="009457BA" w:rsidRDefault="00E4072B" w:rsidP="00E4072B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Для розташування готелю у проекті «Київ-Сіті» передбачені ділянки, розташовані безпосередньо з виходом на набережну, з доброю видимістю із головної магістралі, котра веде до Міжнародного аеропорту «Бориспіль»; вони будуть мати високий потенціал для готелів середньої цінової категорії навіть на ранньому етапі реалізації проекту.</w:t>
      </w:r>
    </w:p>
    <w:p w:rsidR="00E4072B" w:rsidRPr="009457BA" w:rsidRDefault="00E4072B" w:rsidP="00E4072B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Загалом в «Київ-Сіті» доцильно розташувати три готелі (2 готелі 4-х зіркові та 1 3-х зірковий), кожний з номерним фондом від 100 до 250 номерів і можливістю розширення.</w:t>
      </w:r>
    </w:p>
    <w:p w:rsidR="00E4072B" w:rsidRPr="009457BA" w:rsidRDefault="00E4072B" w:rsidP="00E4072B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i/>
          <w:noProof/>
          <w:color w:val="000000"/>
          <w:position w:val="3"/>
          <w:sz w:val="28"/>
          <w:szCs w:val="28"/>
          <w:lang w:val="uk-UA"/>
        </w:rPr>
        <w:t>Конференц-приміщення</w:t>
      </w: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. Конференц-центр є одним з ключових об’єктів у перспективному проекті «Київ-Сіті», однак це не дуже прибутковий і нелегкий в оперуванні заклад, особливо на ранньому етапі девелопменту нового міського району, коли його офісна складова буде ще дуже невеликою.</w:t>
      </w:r>
    </w:p>
    <w:p w:rsidR="00E4072B" w:rsidRPr="009457BA" w:rsidRDefault="00E4072B" w:rsidP="00E4072B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Організація та проведення конференцій є частиною конгрес-туризму, який також складається із організації форумів, симпозіумів, конференцій, виставок, бізнес-зустрічей та інших заходів. Згідно з Всесвітньою торгівельною організацією, конгрес-туризм складає 10 – 12% від загального обсягу бізнес-туризму у світі. В той же час, бізнес-туризм (який також називають МІСЕ-туризм або зустрічі, заохочувальні тури, конференції і виставки) складає близько 30% від загального світового туризму.</w:t>
      </w:r>
    </w:p>
    <w:p w:rsidR="00E4072B" w:rsidRPr="009457BA" w:rsidRDefault="00E4072B" w:rsidP="00E4072B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Компанії, що бажають організувати конференцію у Києві, роблять це своїми силами або винаймають спеціалістів з агенцій у сфері організації корпоративних заходів.</w:t>
      </w:r>
    </w:p>
    <w:p w:rsidR="00E4072B" w:rsidRPr="009457BA" w:rsidRDefault="00E4072B" w:rsidP="00E4072B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 xml:space="preserve">Конференц-послуги включають в себе організацію та, іноді, проведення конференцій. Існує багато подібних агенцій, а також бюро перекладів та туристичних агенцій. Вартість послуг з організації конференцій залежить від їх виду, а також від репутації агенції, що займається їх організацією. Комісійні таких агенцій становлять близько 10 – 15% від їх загальної </w:t>
      </w: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lastRenderedPageBreak/>
        <w:t>вартості.</w:t>
      </w:r>
    </w:p>
    <w:p w:rsidR="00E4072B" w:rsidRPr="009457BA" w:rsidRDefault="00E4072B" w:rsidP="00E4072B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Вибір місця проведення конференцій залежить від головної мети, теми, розміру та бюджету конференцій, а також статусу відвідувачів.</w:t>
      </w:r>
    </w:p>
    <w:p w:rsidR="00E4072B" w:rsidRPr="009457BA" w:rsidRDefault="00E4072B" w:rsidP="00E4072B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Більшість конференцій у Києві, особливо конференцій вищого рівня, проводяться у конференц-холах готелів. Вони зазвичай пропонують приміщення вищої якості та кращий банкетний сервіс, ніж інші приміщення. Також вони є зручнішими для закордоних учасників, які можуть зупинитися у тому ж готелі на час проведення конференції.</w:t>
      </w:r>
    </w:p>
    <w:p w:rsidR="00E4072B" w:rsidRPr="009457BA" w:rsidRDefault="00E4072B" w:rsidP="00E4072B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На даний момент наявність високоякісних та доступних приміщень для проведення конференцій з прийнятим рівнем комфортабельності у Києві є достатньо обмеженою. Спостерігається дефіцит трьохзіркових готелів, що можуть запропонувати конференційні приміщення європейської якості у середній ціновій категорії.</w:t>
      </w:r>
    </w:p>
    <w:p w:rsidR="00E4072B" w:rsidRPr="009457BA" w:rsidRDefault="00E4072B" w:rsidP="00E4072B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Існує два варіанти створення конференц-центру у проекті: як окремої будівлі поблизу готелів з окремою структурою власності, або як складової одного з готелів. Проте на ранньому етапі реалізації проекту «Київ-Сіті» попит на послуги конференц-центру буде недостатнім. Тому девелоперів готелів на ранніх етапах реалізації проекту буде зобов’язано включити до складу своїх будівель невеликі приміщення для зустричей (не обов’язково конференцій) площею 400 – 500 кв. м.</w:t>
      </w:r>
    </w:p>
    <w:p w:rsidR="00E4072B" w:rsidRPr="009457BA" w:rsidRDefault="00E4072B" w:rsidP="00E4072B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На пізніших етапах проекту, на основі тестування попиту готельних операторів та інших операторів у сегменті, буде прийматися рішення щодо доцільності розташування в «Київ-Сіті» окремого конференц-центру в якості невеликого інвестиційного проекту або просто розширити існуючи конференц-приміщення у готелях.</w:t>
      </w:r>
    </w:p>
    <w:p w:rsidR="00FD1633" w:rsidRDefault="00FD1633"/>
    <w:sectPr w:rsidR="00FD16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6546"/>
    <w:rsid w:val="00E4072B"/>
    <w:rsid w:val="00E76546"/>
    <w:rsid w:val="00FD1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072B"/>
    <w:pPr>
      <w:widowControl w:val="0"/>
    </w:pPr>
    <w:rPr>
      <w:rFonts w:ascii="Calibri" w:eastAsia="Times New Roman" w:hAnsi="Calibri" w:cs="Times New Roman"/>
      <w:kern w:val="2"/>
      <w:sz w:val="21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072B"/>
    <w:pPr>
      <w:widowControl w:val="0"/>
    </w:pPr>
    <w:rPr>
      <w:rFonts w:ascii="Calibri" w:eastAsia="Times New Roman" w:hAnsi="Calibri" w:cs="Times New Roman"/>
      <w:kern w:val="2"/>
      <w:sz w:val="21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807</Words>
  <Characters>4602</Characters>
  <Application>Microsoft Office Word</Application>
  <DocSecurity>0</DocSecurity>
  <Lines>38</Lines>
  <Paragraphs>10</Paragraphs>
  <ScaleCrop>false</ScaleCrop>
  <Company/>
  <LinksUpToDate>false</LinksUpToDate>
  <CharactersWithSpaces>5399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МАН-264</dc:creator>
  <cp:keywords/>
  <dc:description/>
  <cp:lastModifiedBy>МАН-264</cp:lastModifiedBy>
  <cp:revision>2</cp:revision>
  <dcterms:created xsi:type="dcterms:W3CDTF">2013-07-18T08:54:00Z</dcterms:created>
  <dcterms:modified xsi:type="dcterms:W3CDTF">2013-07-18T08:54:00Z</dcterms:modified>
</cp:coreProperties>
</file>