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680" w:rsidRPr="009457BA" w:rsidRDefault="00794680" w:rsidP="00794680">
      <w:pPr>
        <w:spacing w:after="0" w:line="360" w:lineRule="auto"/>
        <w:ind w:firstLine="697"/>
        <w:jc w:val="both"/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</w:pPr>
      <w:bookmarkStart w:id="0" w:name="_GoBack"/>
      <w:r w:rsidRPr="009457BA"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  <w:t>3.3.1.3. Спортивні заклади у проекті</w:t>
      </w:r>
    </w:p>
    <w:bookmarkEnd w:id="0"/>
    <w:p w:rsidR="00794680" w:rsidRPr="009457BA" w:rsidRDefault="00794680" w:rsidP="0079468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Спортивні та фітнес заклади, за результатами опитування потенційних орендів нерухомості у проекті, були визначені як такі, що є найнеобхіднішими об’єктами соціально-побутової інфраструктури поблизу офісних приміщень.</w:t>
      </w:r>
    </w:p>
    <w:p w:rsidR="00794680" w:rsidRPr="009457BA" w:rsidRDefault="00794680" w:rsidP="0079468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Спортивні заклади у перспективному міському проекті «Київ-Сіті» можна розділити на дві основні категорії відповідно до їх фінансової доцільності і потреби у субсидіях: заклади комерційного спрямування (фітнес-центри, приватні елітні спортивно-оздоровчі клуби) і заклади, що потребують субсидій.</w:t>
      </w:r>
    </w:p>
    <w:p w:rsidR="00794680" w:rsidRPr="009457BA" w:rsidRDefault="00794680" w:rsidP="0079468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Фітнес-центри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. Невеликі традиційні фітнес-центри у приміщеннях площею 600 – 1000 кв. м є, як правило, прибутковими закладами, які орендують приміщення по відносно невисокій орендній ставці. Фітнес-центри більших форматів містять зазвичай корти для гри в сквош, басейни тощо. Типовим орендарем для таких приміщень є мережі фітнес-центрів, які будуть функціонувати у проекті на базі зони охоплення, сформованої офісними працівниками і мешканцями житлової частини комплексу.</w:t>
      </w:r>
    </w:p>
    <w:p w:rsidR="00794680" w:rsidRPr="009457BA" w:rsidRDefault="00794680" w:rsidP="0079468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Зважаючи на суттєвий об’єм житла, який виводиться на ринніх етапах проекту, фітнес-центр може бути відкритий у «Київ-Сіті» уже на 2 – 3 рік реалізації.</w:t>
      </w:r>
    </w:p>
    <w:p w:rsidR="00794680" w:rsidRPr="009457BA" w:rsidRDefault="00794680" w:rsidP="0079468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Приватні елітні спортивно-оздоровчі клуби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. Зазначені спортивно-оздоровчі клуби, як правило, реалізуються у вищій ціновій категорії і мають дорожче членство порівняно з традиційними фітнес-центрами. Головними перевагами таких закладів є розташування у них масштабного басейну, а також великої кількосіт приміщень для відпочинку і спілкування.</w:t>
      </w:r>
    </w:p>
    <w:p w:rsidR="00794680" w:rsidRPr="009457BA" w:rsidRDefault="00794680" w:rsidP="0079468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Для забезпечення успішного функціонування таких закладів та їх фінансової доцільності необхідна велика кількість робочих місць у проекті, що стане можливим у «Київ-Сіті» не раніше виведення, принаймні, половини приміщень, запланованих у проекті.</w:t>
      </w:r>
    </w:p>
    <w:p w:rsidR="00794680" w:rsidRPr="009457BA" w:rsidRDefault="00794680" w:rsidP="0079468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Субсидійовані спортивні заклади. Масштабні спортивні заклади, в тому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числі спортивні споруди на відкритому повітрі, будуть важливою складовою проекту «Київ-Сіті», котрий позиціонуватиметься як проект, при розробці якого особлива увага приділялася питанням сталого розвитку та екологічності, а також необхідності забезпечити здорове середовище та якісний стиль життя.</w:t>
      </w:r>
    </w:p>
    <w:p w:rsidR="00794680" w:rsidRPr="009457BA" w:rsidRDefault="00794680" w:rsidP="0079468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Спортивний клуб у перспективному проекті «Київ-Сіті» передбачається збудувати девелоперським агентством проекту і передати зовнішньому спеціалізованому оператору – орендареві на тендерній основі. Цей орендар буде відповідальним за утримання і подальше розширення клубу, а також буде сплачувати орендну плату.</w:t>
      </w:r>
    </w:p>
    <w:p w:rsidR="00FD1633" w:rsidRDefault="00FD1633"/>
    <w:sectPr w:rsidR="00FD1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AE"/>
    <w:rsid w:val="002032AE"/>
    <w:rsid w:val="00794680"/>
    <w:rsid w:val="00FD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680"/>
    <w:pPr>
      <w:widowControl w:val="0"/>
    </w:pPr>
    <w:rPr>
      <w:rFonts w:ascii="Calibri" w:eastAsia="Times New Roma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680"/>
    <w:pPr>
      <w:widowControl w:val="0"/>
    </w:pPr>
    <w:rPr>
      <w:rFonts w:ascii="Calibri" w:eastAsia="Times New Roma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2013-07-18T08:53:00Z</dcterms:created>
  <dcterms:modified xsi:type="dcterms:W3CDTF">2013-07-18T08:53:00Z</dcterms:modified>
</cp:coreProperties>
</file>