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3.3.1.1. Орендарі офісної нерухомості м. Київ</w:t>
      </w:r>
    </w:p>
    <w:bookmarkEnd w:id="0"/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Попит на офіси в Київі як і раніше сильно обумовлений компаніями, що працюють в області інформаційних і комунікаційних технологій, виробництва та розподілу (переважно виробництво товарів масового вжитку і фармацевтичне виробництво), в фінансовому секторі та в сільському господарстві. Сукупна частка цих компаній у загальному обсязі офісних примищень, орендованих у 2011 році, склала приблизно 51%.</w:t>
      </w:r>
    </w:p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Більшість великих корпорацій, оперуючих у сфері бізнес-консалтингу, фінансових послуг, виробництва та розповсюдження, сільського господарства та дистрибуції, а також державні організації та посольства розташовано в найпривабливіших офісних локаціях, тобто в центральному діловому районі, на Подолі і, частково, в районі Печерську.</w:t>
      </w:r>
    </w:p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Стандарт на використання офісної площі на одне робоче місто в компаніях, що працюють в професійних офісних об’єктах в Київі становить, у середньому, 12 кв.м. на одне робоче місце.</w:t>
      </w:r>
    </w:p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Нижченаведена інформація демонструє площі офісних приміщень, орендованих деякими великими регіональними/міжнародними компаніями в м. Київ.</w:t>
      </w:r>
    </w:p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– Офісні площі регіональних/міжнародних компанії в м. Київ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98"/>
        <w:gridCol w:w="1905"/>
        <w:gridCol w:w="1473"/>
        <w:gridCol w:w="1617"/>
        <w:gridCol w:w="1905"/>
        <w:gridCol w:w="1473"/>
      </w:tblGrid>
      <w:tr w:rsidR="003F5415" w:rsidRPr="009457BA" w:rsidTr="00583207">
        <w:tc>
          <w:tcPr>
            <w:tcW w:w="141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  <w:tc>
          <w:tcPr>
            <w:tcW w:w="157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</w:tr>
      <w:tr w:rsidR="003F5415" w:rsidRPr="009457BA" w:rsidTr="00583207">
        <w:tc>
          <w:tcPr>
            <w:tcW w:w="141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Procter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Gamble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3,843</w:t>
            </w:r>
          </w:p>
        </w:tc>
        <w:tc>
          <w:tcPr>
            <w:tcW w:w="157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Philip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Morris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3,010</w:t>
            </w:r>
          </w:p>
        </w:tc>
      </w:tr>
      <w:tr w:rsidR="003F5415" w:rsidRPr="009457BA" w:rsidTr="00583207">
        <w:tc>
          <w:tcPr>
            <w:tcW w:w="141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Unilever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7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MasterFoods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599</w:t>
            </w:r>
          </w:p>
        </w:tc>
      </w:tr>
      <w:tr w:rsidR="003F5415" w:rsidRPr="009457BA" w:rsidTr="00583207">
        <w:tc>
          <w:tcPr>
            <w:tcW w:w="141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BAT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2,017</w:t>
            </w:r>
          </w:p>
        </w:tc>
        <w:tc>
          <w:tcPr>
            <w:tcW w:w="157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Colgate-Palmolive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300</w:t>
            </w:r>
          </w:p>
        </w:tc>
      </w:tr>
      <w:tr w:rsidR="003F5415" w:rsidRPr="009457BA" w:rsidTr="00583207">
        <w:tc>
          <w:tcPr>
            <w:tcW w:w="141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Kraft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Foods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1,802</w:t>
            </w:r>
          </w:p>
        </w:tc>
        <w:tc>
          <w:tcPr>
            <w:tcW w:w="157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PepsiCo</w:t>
            </w:r>
          </w:p>
        </w:tc>
        <w:tc>
          <w:tcPr>
            <w:tcW w:w="1854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3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122</w:t>
            </w:r>
          </w:p>
        </w:tc>
      </w:tr>
    </w:tbl>
    <w:p w:rsidR="003F5415" w:rsidRPr="009457BA" w:rsidRDefault="003F5415" w:rsidP="003F5415">
      <w:pPr>
        <w:spacing w:after="0" w:line="360" w:lineRule="auto"/>
        <w:ind w:left="511"/>
        <w:rPr>
          <w:rFonts w:ascii="Times New Roman" w:hAnsi="Times New Roman"/>
          <w:noProof/>
          <w:color w:val="000000"/>
          <w:sz w:val="28"/>
          <w:szCs w:val="28"/>
          <w:lang w:val="uk-UA"/>
        </w:rPr>
      </w:pPr>
    </w:p>
    <w:p w:rsidR="003F5415" w:rsidRPr="009457BA" w:rsidRDefault="003F5415" w:rsidP="003F5415">
      <w:pPr>
        <w:spacing w:after="0" w:line="360" w:lineRule="auto"/>
        <w:ind w:left="511"/>
        <w:rPr>
          <w:rFonts w:ascii="Times New Roman" w:hAnsi="Times New Roman"/>
          <w:noProof/>
          <w:color w:val="000000"/>
          <w:sz w:val="28"/>
          <w:szCs w:val="28"/>
          <w:lang w:val="uk-UA"/>
        </w:rPr>
      </w:pPr>
    </w:p>
    <w:p w:rsidR="003F5415" w:rsidRPr="009457BA" w:rsidRDefault="003F5415" w:rsidP="003F5415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Продовження табл.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29"/>
        <w:gridCol w:w="1899"/>
        <w:gridCol w:w="1468"/>
        <w:gridCol w:w="1508"/>
        <w:gridCol w:w="1899"/>
        <w:gridCol w:w="1468"/>
      </w:tblGrid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Сфера діяльності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Площа офісних приміщень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Danone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250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Nestle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Товари повсякденного попиту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3,171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IVAX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284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GlaxoSmith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Kline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1,300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Aventis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Pharma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Int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Фармація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432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Siemens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2,100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IBM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325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Ericsson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1,427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Sony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796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Samsung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2,912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Exxon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Mobil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200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Panasonic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515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3M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1,100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Osram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749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Nissan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Motors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Автомобільна продукція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521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Motorola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727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DuPont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644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Whirlpool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150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lastRenderedPageBreak/>
              <w:t>Kodak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500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BASF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533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Shell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1,455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Microsoft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3,500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Hewlett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Packard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Електроніка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600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ORACLE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Інформаційно-комунікаційні технології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350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Cisco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Systems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Інформаційно-комунікаційні технології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1,000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Deloitte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6,650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KPMG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1,779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Ernst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Young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1,501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ING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Bank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2,595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Sociйtй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Generale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100</w:t>
            </w:r>
          </w:p>
        </w:tc>
      </w:tr>
      <w:tr w:rsidR="003F5415" w:rsidRPr="009457BA" w:rsidTr="00583207">
        <w:tc>
          <w:tcPr>
            <w:tcW w:w="1416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Baker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&amp;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McKenzie</w:t>
            </w: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Бізнес-послуги</w:t>
            </w: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  <w:t>1,480</w:t>
            </w:r>
          </w:p>
        </w:tc>
        <w:tc>
          <w:tcPr>
            <w:tcW w:w="1462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851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</w:p>
        </w:tc>
        <w:tc>
          <w:tcPr>
            <w:tcW w:w="149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  <w:lang w:val="uk-UA"/>
              </w:rPr>
            </w:pPr>
          </w:p>
        </w:tc>
      </w:tr>
    </w:tbl>
    <w:p w:rsidR="003F5415" w:rsidRPr="009457BA" w:rsidRDefault="003F5415" w:rsidP="003F5415">
      <w:pPr>
        <w:spacing w:after="0" w:line="360" w:lineRule="auto"/>
        <w:ind w:firstLine="709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sz w:val="28"/>
          <w:szCs w:val="28"/>
        </w:rPr>
        <w:t>Джерело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: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DTZ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Research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Необхідно зауважити, що запити цих орендарів на офісні приміщення в Київі складають лише 20 – 50% від площі, яку займають ті ж самі компанії в інших столицях Центральної та Восточної Європи. Це дослідження було проведено в червні 2005 року, тому важливо відзначити, що з того часу ряд компаній, наведених у таблиці, збільшили орендовану в Київі офісну площу. Серед цих компаній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Baker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&amp;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McKenzie,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Reiffeisen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Bank,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Cisco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Systems,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GlaxoSmithKline,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Motorola,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Procter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&amp;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Gamble,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Unilever,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Kraft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 xml:space="preserve"> Foods,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Osram,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Ernst&amp;Young,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Deloitte,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3M,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Microsoft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та інші.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Починаючи з 2007 року багато корпоративних офісних орендарів почали свою експансію. Через дефіціт якісних офісних приміщень, що історично переважав у Київі, а також низький рівень пропозиції нових офісних приміщень, багато компаній значно розширили орендовану площу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lastRenderedPageBreak/>
        <w:t>офісів, зважаючи не тільки на нагальні потреби в офісних приміщеннях, але й на перспективи подальшого росту компаній та додаткових співробітників. Багато корпоративних орендарів вже скористалися можливостями знижених ставок оренди на офіси в Київі, переїхавши до більш привабливих для локації місць міста або розширивши орендну площу офісів.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Незважаючи на те, що у 2011 році попит на офісні приміщення формувався орендарями різних галузей, на відміну від 2010 року вагома доля попиту приходилася на компанії сектору інформаційних технологій та комунікацій (38% від загального обсягу приміщень, зданих в оренду в цей період), виробництва (26%, головним чином компаніями сектору продуктів повсякденного вжитку та формації, дорівнюючи відповідно 4% та 6,8%), фінансів (10%) та сільського господарства (5%) (рис.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).</w:t>
      </w:r>
    </w:p>
    <w:p w:rsidR="003F5415" w:rsidRPr="009457BA" w:rsidRDefault="003F5415" w:rsidP="003F5415">
      <w:pPr>
        <w:spacing w:after="0" w:line="360" w:lineRule="auto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position w:val="2"/>
          <w:sz w:val="28"/>
          <w:szCs w:val="28"/>
          <w:lang w:val="ru-RU" w:eastAsia="ru-RU"/>
        </w:rPr>
        <w:drawing>
          <wp:inline distT="0" distB="0" distL="0" distR="0" wp14:anchorId="1FF39FC0" wp14:editId="60444105">
            <wp:extent cx="5934075" cy="3229610"/>
            <wp:effectExtent l="0" t="0" r="952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Рисунок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– Оренда офісних приміщень у Київі за типами орендарів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У 2011 році переважаючими стали угоди на оренду офісних приміщень площею понад </w:t>
      </w:r>
      <w:smartTag w:uri="urn:schemas-microsoft-com:office:smarttags" w:element="metricconverter">
        <w:smartTagPr>
          <w:attr w:name="ProductID" w:val="1000 кв. м"/>
        </w:smartTagPr>
        <w:r w:rsidRPr="009457BA">
          <w:rPr>
            <w:rFonts w:ascii="Times New Roman" w:hAnsi="Times New Roman"/>
            <w:noProof/>
            <w:color w:val="000000"/>
            <w:position w:val="2"/>
            <w:sz w:val="28"/>
            <w:szCs w:val="28"/>
            <w:lang w:val="uk-UA"/>
          </w:rPr>
          <w:t>1000 кв. м</w:t>
        </w:r>
      </w:smartTag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., на частку яких припадає 42% загальної кількості укладених угод оренди на ринку. У першому кварталі 2012 року у Київі було здано близько 10500 кв.м. офісних приміщень, що на 31% нижче в порівнянні з показником, зареєстрованим у першому кварталі 2004 року, перед початком динамічного економічного зростання в Україні. Крім того, об’єм поглинутих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lastRenderedPageBreak/>
        <w:t>офісних приміщень у першому кварталі 2012 року був на 58% менше в порівнянні з показником, зареєстрованим у першому кварталі 2009 року, у час розпалу економічної кризи.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У зв’язку з поступовим поліпшенням економічної ситуації у країні умови на ринку офісної нерухомості у Київі стають сприятливішими, в 2011 році та у першому кварталі 2012 року багато компаній переїхали в офісні приміщення з кращими характеристиками з точки зору розташування та/або якості. Інші компанії розширили займані площі або провели переговори з власниками приміщень з метою зафіксувати поточні умови оренди на більш тривалий термін напередодні очікуваного відновлення позитивної динаміки ринку.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– Найбільші угоди з оренди офісних приміщень у Київі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1"/>
        <w:gridCol w:w="1954"/>
        <w:gridCol w:w="2273"/>
        <w:gridCol w:w="2323"/>
      </w:tblGrid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Орендар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Площа (кв.м)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Профіль орендаря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Розташування*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TNK-BP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5 923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EPAM</w:t>
            </w:r>
            <w:r w:rsidRPr="009457BA">
              <w:rPr>
                <w:rFonts w:ascii="Times New Roman" w:hAnsi="Times New Roman"/>
                <w:noProof/>
                <w:color w:val="000000"/>
                <w:spacing w:val="10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Systems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5 300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  <w:t>«Воля»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3 460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СБ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PwC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3 292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Бізнес-сервіс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Microsoft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2 908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  <w:t>Посольство Канади в Україні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2 264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Посольство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SEB</w:t>
            </w:r>
            <w:r w:rsidRPr="009457BA">
              <w:rPr>
                <w:rFonts w:ascii="Times New Roman" w:hAnsi="Times New Roman"/>
                <w:noProof/>
                <w:color w:val="000000"/>
                <w:spacing w:val="4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Bank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 xml:space="preserve">1 991 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</w:rPr>
              <w:t>Software</w:t>
            </w:r>
            <w:r w:rsidRPr="009457BA"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</w:rPr>
              <w:t>Outsourcing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  <w:lang w:val="uk-UA"/>
              </w:rPr>
              <w:t xml:space="preserve"> 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</w:rPr>
              <w:t>Team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1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1 140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ІСТ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10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  <w:t>EniS.p.A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793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Енергетика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Поділ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Porsche</w:t>
            </w:r>
            <w:r w:rsidRPr="009457BA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2"/>
                <w:sz w:val="28"/>
                <w:szCs w:val="28"/>
              </w:rPr>
              <w:t>Leasing</w:t>
            </w:r>
            <w:r w:rsidRPr="009457BA">
              <w:rPr>
                <w:rFonts w:ascii="Times New Roman" w:hAnsi="Times New Roman"/>
                <w:noProof/>
                <w:color w:val="000000"/>
                <w:spacing w:val="9"/>
                <w:sz w:val="28"/>
                <w:szCs w:val="28"/>
              </w:rPr>
              <w:t> </w:t>
            </w:r>
            <w:r w:rsidRPr="009457BA"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  <w:t>Ukraine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662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Фінанси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ЗБ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KPMG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515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Бізнес-сервіс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ЦДР</w:t>
            </w:r>
          </w:p>
        </w:tc>
      </w:tr>
      <w:tr w:rsidR="003F5415" w:rsidRPr="009457BA" w:rsidTr="00583207">
        <w:tc>
          <w:tcPr>
            <w:tcW w:w="2820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spacing w:val="-1"/>
                <w:position w:val="3"/>
                <w:sz w:val="28"/>
                <w:szCs w:val="28"/>
              </w:rPr>
              <w:t>Group SEB</w:t>
            </w:r>
          </w:p>
        </w:tc>
        <w:tc>
          <w:tcPr>
            <w:tcW w:w="2065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</w:rPr>
              <w:t>400</w:t>
            </w:r>
          </w:p>
        </w:tc>
        <w:tc>
          <w:tcPr>
            <w:tcW w:w="2328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Виробництво</w:t>
            </w:r>
          </w:p>
        </w:tc>
        <w:tc>
          <w:tcPr>
            <w:tcW w:w="2357" w:type="dxa"/>
          </w:tcPr>
          <w:p w:rsidR="003F5415" w:rsidRPr="009457BA" w:rsidRDefault="003F5415" w:rsidP="00583207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noProof/>
                <w:color w:val="000000"/>
                <w:position w:val="2"/>
                <w:sz w:val="28"/>
                <w:szCs w:val="28"/>
                <w:lang w:val="uk-UA"/>
              </w:rPr>
              <w:t>НЦ - СБ</w:t>
            </w:r>
          </w:p>
        </w:tc>
      </w:tr>
    </w:tbl>
    <w:p w:rsidR="003F5415" w:rsidRPr="009457BA" w:rsidRDefault="003F5415" w:rsidP="003F5415">
      <w:pPr>
        <w:spacing w:after="0" w:line="360" w:lineRule="auto"/>
        <w:ind w:firstLine="709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sz w:val="28"/>
          <w:szCs w:val="28"/>
        </w:rPr>
        <w:t>Джерело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: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DTZ</w:t>
      </w:r>
      <w:r w:rsidRPr="009457BA">
        <w:rPr>
          <w:rFonts w:ascii="Times New Roman" w:hAnsi="Times New Roman"/>
          <w:noProof/>
          <w:color w:val="000000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</w:rPr>
        <w:t>Research</w:t>
      </w:r>
    </w:p>
    <w:p w:rsidR="003F5415" w:rsidRPr="009457BA" w:rsidRDefault="003F5415" w:rsidP="003F5415">
      <w:pPr>
        <w:spacing w:after="0" w:line="360" w:lineRule="auto"/>
        <w:jc w:val="both"/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lastRenderedPageBreak/>
        <w:t>* ЦДР – Центральний діловий район, НЦ – ЗБ – нецентральний діловий район на західному березі ріки Дніпро, НЦ – СБ – нецентральний район на східному березі ріки Дніпро.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2"/>
          <w:sz w:val="28"/>
          <w:szCs w:val="28"/>
          <w:lang w:val="uk-UA"/>
        </w:rPr>
        <w:t xml:space="preserve">Проте значна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частина орендарів, зокрема, малих і середніх підприємств, до сих пір працює в переформатованих житлових приміщеннях та колишніх промислових будівлях, що пов’язано як із наслідками економічної кризи, так й з відсутністю довіри в цілому до об’єктів, що будуються. Отже, орендарями офісної частини «Київ-Сіті» переважно будуть компанії, які зацікавлені в розширенні своїх офісних приміщень у Києві, бажають переїхати в інші офісні приміщення або консолідувати свої теперішні локації по місту в єдиний будинок.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Згідно з результатами проведеного опитування великих корпоративних орендарів у Києві, представники практично всіх секторів економіки підтвердили наміри розширити штат та/або площу своїх офісних приміщень (рис.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/>
          <w:position w:val="3"/>
          <w:sz w:val="28"/>
          <w:szCs w:val="28"/>
          <w:lang w:val="ru-RU" w:eastAsia="ru-RU"/>
        </w:rPr>
        <w:drawing>
          <wp:inline distT="0" distB="0" distL="0" distR="0" wp14:anchorId="2F6D6205" wp14:editId="12561803">
            <wp:extent cx="4279900" cy="30543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– Структура компаній за наміром розширення штату та/або площу офісних приміщень у Києві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Винятком є комерційні банки (14% респондентів у секторі надали позитивну відповідь) та юридичні компанії (33% позитивних відповідей). Найпозитивніші тенденції щодо перспективного зростання у найближчі 5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років було зафіксовано у сільському господарстві, логістиці, ІТ секторі, виробництві і дистрибуції товарів, рекламі і медіа, а також фінансовому секторі за винятком банків.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Згідно з результатами проведеного опитування великих корпоративних орендарів офісної нерухомості у Києві, ділянки уздовж ріки Дніпро (в тому числі і на лівому березі) є потенційно привабливими для компаній усіх секторів, особливо для комерційних банків та інших компаній у фінансовому секторі, у секторі інформаційних технологій, торгівлі, секторі реклами та медіа, сільському господарстві, а також для виробничих і дистрибуційних компаній (рис.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 той же час практично половина опитаних юридичних компаній (50%), посольств, урядових і неурядових організацій (50%), а також компаній у торгівельному (75%) ат логістичному секторі не готові сьогодні розглядати такий варіант.</w:t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BE3D56E" wp14:editId="3E7F8220">
            <wp:extent cx="4144010" cy="3560445"/>
            <wp:effectExtent l="0" t="0" r="889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ділянок уздовж р. Дніпро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Ділянка, розташована в районі Одеської площі у Києві, є найбільш привабливою для розташування офісних приміщень опитаних компаній у секторах логістики, сільському господарстві, юридичних компаній та інших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бізнес-консультантів, комерційних банків та ІТ компаній (рис.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CAFE310" wp14:editId="42A6A3B2">
            <wp:extent cx="4250690" cy="32683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ділянки біля Одеської площі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Ділянка, розташована на лівому березі Дніпра уздовж траси до міжнародного аеропорту Бориспіль, є потенційно привабливою для транспортних компаній та компаній, що надають бізнес послуги, а також ІТ та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виробничо-дистрибуційних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компаній (рис.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DE2B710" wp14:editId="4D959AA8">
            <wp:extent cx="4211955" cy="305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955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415" w:rsidRPr="009457BA" w:rsidRDefault="003F5415" w:rsidP="003F541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Рис.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Оцінка потенційної привабливості ділянки уздовж траси до міжнародного аеропорту Бориспіль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Аналіз тенденцій попиту в аналогічних нових ділових районах в Європі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та у Москві показує, що орендарями, які у першу чергу переїздять в нові ділові райони, є ті компанії, що займають і потребують найбільшу площу офісних приміщень. Це особливо стосується перших корпоративних орендарів, яких залучають у такі масштабні містобудівні проекти. Компанії з великим штатом працівників не лише потребують більшої площі, але й переважно зацікавлені в оренді офісних будівель з великою площею поверху і ефективним плануванням відкритого типу.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Виходячи із проаналізованих тенденцій і міркувань можна визначити, що цільовими орендарями у проекті «Київ-Сіті» будуть компанії, що працюють у фінансовому секторі, промисловому і виробничому секторах, у секторі реклами та медіа, в інформаційно-комунікаційному секторі, сфері торгівлі, готельному бізнесі, приватній медицині.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Фінансовий сектор.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У короткостроковому періоді (наступні 5 років) цей сектор не буде суттєвим генератором попиту на офісні приміщення, але з часом розвиток фінансового сектору призведе до того, що фінансові компанії і комерційні банки нададуть один з найбільших попитів на офісну нерухомість в Києві.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Вже в короткостроковій перспективі декілька комерційних банків шукають можливості для консолідації свого портфоліо офісних приміщень, які сьогодні розташовані у різних частинах міста, і оренди приміщень більшої площі, вищої якості, а також за нижчою орендною ставкою. Саме такі можливості створює для них проект «Київ-Сіті».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Як свідчать результати проведенного опитування, компанії у фінансовому секторі продемонстрували дуже високий інтерес до можливості розташування у проекті. Комерційні банки, що є переважно міжнародними компаніями, є чутливими до затрат на робочу силу і приміщення при прийнятті рішень про розподіл ресурсів. Наявність ефективних і недорогих офісних приміщень є для них дуже вагомим фактором.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Проведений аналіз дозволяє дійти висновку, що фінансовий сектор у проекті «Київ-Сіті» забезпечить: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від 25% до 40% загального попиту на офісні приміщення у проекті;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7000 до 12 000 робочих місць.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Промисловий і виробничий сектор.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Максимум 56% всіх опитаних виробничих і дистрибуційних компаній були потенційно зацікавлені в офісних приміщеннях у проекті «Київ-Сіті». Однак, зважаючи на значну питому вагу цього сектору в загальному обсязі попиту в сегменті офісної нерухомості у Києві, він володіє високим потенціалом для «Київ-Сіті».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Вимоги промислових, виробничих і дистрибуційних компаній до офісних приміщень є подібними до тих, які мають компанії фінансового сектору: ефективні приміщення великої площі, хороша видимість із головних транспортних магістралей у районі, середній рівень орендних ставок і розташування в районі з добре розвиненою системою громадського транспорту.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це, можна очікувати, що промисловий і виробничий сектор у проекті «Київ-Сіті» забезпечить: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10% до 25% загального попиту на офісні приміщення у проекті;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2 500 до 5 500 робочих місць.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Реклама та медіа.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Хоча цей сектор є невеликим, він має суттєвий потенціал зростання і проявив високу попередню зацікавленість проектом «Київ-Сіті» у випадку його розташування на лівоберіжжі.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Виходячи із міжнародного досвіду, компанії цього сектору, як правило, охоче переїжджають до офісних приміщень у нових ділових районах, але для них ключовим фактором прийняття відповідного рішення є наявність розвинутої соціально-побутової інфраструктури.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менший розмір цього сектору в Україні, можна очікувати, що він у проекті «Київ-Сіті» забезпечить: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5% до 15% загального попиту на офісні приміщення у проекті;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1 500 до 5 000 робочих місць.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Сектор інформаційно-комунікаційних технологій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. Попередній аналіз показує, що цей сектор залишиться одним із основних генераторів попиту на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офісні приміщення у Києві, а тому є одним з цільових груп орендарів у перспективному діловому районі «Київ-Сіті», проте не на перших етапах реалізації проекту, коли у проекті ще не буде критичної маси і цей новий район ще не сформується.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Найважливішим фактором для компаній в ІСТ секторі є не вартість оренди офісних приміщень, а привабливість для найталановітіших працівників і створення для них мотиваційного робочего середовища.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Компанії в секторі ІСТ будуть й надалі розвиватися, спеціалізуючись або на креативній та розробницькій діяльності, або на рутинній функції підтримки. Для кожної з таких функцій є особливі умови щодо офісних приміщень.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Креативний творчий сегмент компаній не дуже полюбляє офісні будівлі формату бізнес-парк. Однак для спеціалістів, які виконують рутинні функції підтримки, такий тип приміщень є оптимальним, оскільки вони зацікавлені в оренді дешевших офісних приміщень більшої площі, розташованих в районах з добре розвиненою системою громадського транспорту, оскільки їх основними працівниками є молоді спеціалісти без власного автомобіля.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ці міркування, можна очікувати, що у проекті «Київ-Сіті» цей сектор забезпечить: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10% до 20% загального попиту на офісні приміщення у проекті;</w:t>
      </w:r>
    </w:p>
    <w:p w:rsidR="003F5415" w:rsidRPr="009457BA" w:rsidRDefault="003F5415" w:rsidP="003F54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від 1 500 до 5 000 робочих місць.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Інші менші сегменти ділової активності можуть забезпечити від 3 000 до 16 000 робочих місць у проекті. Таким чином, за 20 років у проекті «Київ-Сіті» може бути створено від 25 000 до 30 000 робочих місць.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Хоча на початкових фазах реалізації проекту «Київ-Сіті» більша частина попиту на офісні приміщення у проекті буде генеруватися компаніями у цих цільових секторах ділової активності, які займатимуть найбільші площі, на більш піздніших етапах у проекті з’являться інші менші компанії з більшості секторів економіки (наприклад, компанії у секторі бізнес-послуг переважно переміщуються до проектів такого типу тоді, коли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там вже утвердяться їхні ключові клієнти.</w:t>
      </w:r>
    </w:p>
    <w:p w:rsidR="003F5415" w:rsidRPr="009457BA" w:rsidRDefault="003F5415" w:rsidP="003F5415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Крім того, перші орендарі суттєво впливають на профіль орендарів у подібному проекті, якщо перші орендарі будуть, наприклад, великі фінансові компанії, то інші компанії фінансового сектору також ймовірно перемістяться до проекту.</w:t>
      </w:r>
    </w:p>
    <w:p w:rsidR="00FD1633" w:rsidRDefault="00FD1633"/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E6971"/>
    <w:multiLevelType w:val="hybridMultilevel"/>
    <w:tmpl w:val="C5A49D42"/>
    <w:lvl w:ilvl="0" w:tplc="3BB291F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46"/>
    <w:rsid w:val="003F5415"/>
    <w:rsid w:val="00904246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15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F54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5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415"/>
    <w:rPr>
      <w:rFonts w:ascii="Tahoma" w:eastAsia="Times New Roma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15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F54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5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415"/>
    <w:rPr>
      <w:rFonts w:ascii="Tahoma" w:eastAsia="Times New Roma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2207</Words>
  <Characters>12583</Characters>
  <Application>Microsoft Office Word</Application>
  <DocSecurity>0</DocSecurity>
  <Lines>104</Lines>
  <Paragraphs>29</Paragraphs>
  <ScaleCrop>false</ScaleCrop>
  <Company/>
  <LinksUpToDate>false</LinksUpToDate>
  <CharactersWithSpaces>14761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2013-07-18T08:52:00Z</dcterms:created>
  <dcterms:modified xsi:type="dcterms:W3CDTF">2013-07-18T08:52:00Z</dcterms:modified>
</cp:coreProperties>
</file>