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 Характеристика споживачів</w:t>
      </w: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3.3.1.1. Орендарі офісної нерухомості м. Київ</w:t>
      </w: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Попит на офіси в Київі як і раніше сильно обумовлений компаніями, що працюють в області інформаційних і комунікаційних технологій, виробництва та розподілу (переважно виробництво товарів масового вжитку і фармацевтичне виробництво), в фінансовому секторі та в сільському господарстві. Сукупна частка цих компаній у загальному обсязі офісних примищень, орендованих у 2011 році, склала приблизно 51%.</w:t>
      </w: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Більшість великих корпорацій, оперуючих у сфері бізнес-консалтингу, фінансових послуг, виробництва та розповсюдження, сільського господарства та дистрибуції, а також державні організації та посольства розташовано в найпривабливіших офісних локаціях, тобто в центральному діловому районі, на Подолі і, частково, в районі Печерську.</w:t>
      </w: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Стандарт на використання офісної площі на одне робоче місто в компаніях, що працюють в професійних офісних об’єктах в Київі становить, у середньому, 12 кв.м. на одне робоче місце.</w:t>
      </w: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Нижченаведена інформація демонструє площі офісних приміщень, орендованих деякими великими регіональними/міжнародними компаніями в м. Київ.</w:t>
      </w: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– Офісні площі регіональних/міжнародних компанії в м. Київ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98"/>
        <w:gridCol w:w="1905"/>
        <w:gridCol w:w="1473"/>
        <w:gridCol w:w="1617"/>
        <w:gridCol w:w="1905"/>
        <w:gridCol w:w="1473"/>
      </w:tblGrid>
      <w:tr w:rsidR="006C37D0" w:rsidRPr="009457BA" w:rsidTr="00583207">
        <w:tc>
          <w:tcPr>
            <w:tcW w:w="141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Сфера діяльності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Площа офісних приміщень</w:t>
            </w:r>
          </w:p>
        </w:tc>
        <w:tc>
          <w:tcPr>
            <w:tcW w:w="157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Сфера діяльності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Площа офісних приміщень</w:t>
            </w:r>
          </w:p>
        </w:tc>
      </w:tr>
      <w:tr w:rsidR="006C37D0" w:rsidRPr="009457BA" w:rsidTr="00583207">
        <w:tc>
          <w:tcPr>
            <w:tcW w:w="141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Procter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&amp;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Gamble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3,843</w:t>
            </w:r>
          </w:p>
        </w:tc>
        <w:tc>
          <w:tcPr>
            <w:tcW w:w="157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Philip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Morris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3,010</w:t>
            </w:r>
          </w:p>
        </w:tc>
      </w:tr>
      <w:tr w:rsidR="006C37D0" w:rsidRPr="009457BA" w:rsidTr="00583207">
        <w:tc>
          <w:tcPr>
            <w:tcW w:w="141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Unilever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</w:t>
            </w: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lastRenderedPageBreak/>
              <w:t>о попиту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t>700</w:t>
            </w:r>
          </w:p>
        </w:tc>
        <w:tc>
          <w:tcPr>
            <w:tcW w:w="157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MasterFoods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</w:t>
            </w: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lastRenderedPageBreak/>
              <w:t>о попиту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t>599</w:t>
            </w:r>
          </w:p>
        </w:tc>
      </w:tr>
      <w:tr w:rsidR="006C37D0" w:rsidRPr="009457BA" w:rsidTr="00583207">
        <w:tc>
          <w:tcPr>
            <w:tcW w:w="141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t>BAT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2,017</w:t>
            </w:r>
          </w:p>
        </w:tc>
        <w:tc>
          <w:tcPr>
            <w:tcW w:w="157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Colgate-Palmolive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300</w:t>
            </w:r>
          </w:p>
        </w:tc>
      </w:tr>
      <w:tr w:rsidR="006C37D0" w:rsidRPr="009457BA" w:rsidTr="00583207">
        <w:tc>
          <w:tcPr>
            <w:tcW w:w="141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Kraft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Foods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1,802</w:t>
            </w:r>
          </w:p>
        </w:tc>
        <w:tc>
          <w:tcPr>
            <w:tcW w:w="157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PepsiCo</w:t>
            </w:r>
          </w:p>
        </w:tc>
        <w:tc>
          <w:tcPr>
            <w:tcW w:w="1854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122</w:t>
            </w:r>
          </w:p>
        </w:tc>
      </w:tr>
    </w:tbl>
    <w:p w:rsidR="006C37D0" w:rsidRPr="009457BA" w:rsidRDefault="006C37D0" w:rsidP="006C37D0">
      <w:pPr>
        <w:spacing w:after="0" w:line="360" w:lineRule="auto"/>
        <w:ind w:left="511"/>
        <w:rPr>
          <w:rFonts w:ascii="Times New Roman" w:hAnsi="Times New Roman"/>
          <w:noProof/>
          <w:color w:val="000000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left="511"/>
        <w:rPr>
          <w:rFonts w:ascii="Times New Roman" w:hAnsi="Times New Roman"/>
          <w:noProof/>
          <w:color w:val="000000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Продовження табл.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29"/>
        <w:gridCol w:w="1899"/>
        <w:gridCol w:w="1468"/>
        <w:gridCol w:w="1508"/>
        <w:gridCol w:w="1899"/>
        <w:gridCol w:w="1468"/>
      </w:tblGrid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Сфера діяльності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Площа офісних приміщень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Сфера діяльності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Площа офісних приміщень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Danone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250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Nestle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3,171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IVAX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Фармація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284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GlaxoSmith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Kline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Фармація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1,300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Aventis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Pharma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Int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Фармація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432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Siemens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2,100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IBM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325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Ericsson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1,427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Sony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796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Samsung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2,912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Exxon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Mobil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200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Panasonic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515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3M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1,100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Osram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749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Nissan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Motors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Автомобільна продукція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521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Motorola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727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t>DuPont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644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Whirlpool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150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Kodak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500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BASF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533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Shell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1,455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Microsoft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3,500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Hewlett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Packard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600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ORACLE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Інформаційно-комунікаційні технології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350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Cisco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Systems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Інформаційно-комунікаційні технології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1,000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Deloitte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Бізнес-послуги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6,650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KPMG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Бізнес-послуги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1,779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Ernst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&amp;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Young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Бізнес-послуги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1,501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ING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Bank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2,595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Sociйtй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Generale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100</w:t>
            </w:r>
          </w:p>
        </w:tc>
      </w:tr>
      <w:tr w:rsidR="006C37D0" w:rsidRPr="009457BA" w:rsidTr="00583207">
        <w:tc>
          <w:tcPr>
            <w:tcW w:w="1416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Baker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&amp;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McKenzie</w:t>
            </w: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Бізнес-послуги</w:t>
            </w: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1,480</w:t>
            </w:r>
          </w:p>
        </w:tc>
        <w:tc>
          <w:tcPr>
            <w:tcW w:w="1462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851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</w:p>
        </w:tc>
        <w:tc>
          <w:tcPr>
            <w:tcW w:w="149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</w:p>
        </w:tc>
      </w:tr>
    </w:tbl>
    <w:p w:rsidR="006C37D0" w:rsidRPr="009457BA" w:rsidRDefault="006C37D0" w:rsidP="006C37D0">
      <w:pPr>
        <w:spacing w:after="0" w:line="360" w:lineRule="auto"/>
        <w:ind w:firstLine="709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sz w:val="28"/>
          <w:szCs w:val="28"/>
        </w:rPr>
        <w:t>Джерело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: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DTZ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Research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Необхідно зауважити, що запити цих орендарів на офісні приміщення в Київі складають лише 20 – 50% від площі, яку займають ті ж самі компанії в інших столицях Центральної та Восточної Європи. Це дослідження було проведено в червні 2005 року, тому важливо відзначити, що з того часу ряд компаній, наведених у таблиці, збільшили орендовану в Київі офісну площу. Серед цих компаній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Baker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&amp;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McKenzie,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Reiffeisen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Bank,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Cisco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Systems,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GlaxoSmithKline,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Motorola,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Procter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&amp;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Gamble,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Unilever,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Kraft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 xml:space="preserve"> Foods,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Osram,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Ernst&amp;Young,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Deloitte,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3M,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Microsoft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та інші.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Починаючи з 2007 року багато корпоративних офісних орендарів почали свою експансію. Через дефіціт якісних офісних приміщень, що історично переважав у Київі, а також низький рівень пропозиції нових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lastRenderedPageBreak/>
        <w:t>офісних приміщень, багато компаній значно розширили орендовану площу офісів, зважаючи не тільки на нагальні потреби в офісних приміщеннях, але й на перспективи подальшого росту компаній та додаткових співробітників. Багато корпоративних орендарів вже скористалися можливостями знижених ставок оренди на офіси в Київі, переїхавши до більш привабливих для локації місць міста або розширивши орендну площу офісів.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Незважаючи на те, що у 2011 році попит на офісні приміщення формувався орендарями різних галузей, на відміну від 2010 року вагома доля попиту приходилася на компанії сектору інформаційних технологій та комунікацій (38% від загального обсягу приміщень, зданих в оренду в цей період), виробництва (26%, головним чином компаніями сектору продуктів повсякденного вжитку та формації, дорівнюючи відповідно 4% та 6,8%), фінансів (10%) та сільського господарства (5%) (рис. 3.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).</w:t>
      </w:r>
    </w:p>
    <w:p w:rsidR="006C37D0" w:rsidRPr="009457BA" w:rsidRDefault="006C37D0" w:rsidP="006C37D0">
      <w:pPr>
        <w:spacing w:after="0" w:line="360" w:lineRule="auto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000000"/>
          <w:position w:val="2"/>
          <w:sz w:val="28"/>
          <w:szCs w:val="28"/>
          <w:lang w:val="ru-RU" w:eastAsia="ru-RU"/>
        </w:rPr>
        <w:drawing>
          <wp:inline distT="0" distB="0" distL="0" distR="0">
            <wp:extent cx="5934075" cy="3229610"/>
            <wp:effectExtent l="0" t="0" r="952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D0" w:rsidRPr="009457BA" w:rsidRDefault="006C37D0" w:rsidP="006C37D0">
      <w:pPr>
        <w:spacing w:after="0" w:line="360" w:lineRule="auto"/>
        <w:jc w:val="center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Рисунок 3.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 – Оренда офісних приміщень у Київі за типами орендарів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У 2011 році переважаючими стали угоди на оренду офісних приміщень площею понад </w:t>
      </w:r>
      <w:smartTag w:uri="urn:schemas-microsoft-com:office:smarttags" w:element="metricconverter">
        <w:smartTagPr>
          <w:attr w:name="ProductID" w:val="1000 кв. м"/>
        </w:smartTagPr>
        <w:r w:rsidRPr="009457BA">
          <w:rPr>
            <w:rFonts w:ascii="Times New Roman" w:hAnsi="Times New Roman"/>
            <w:noProof/>
            <w:color w:val="000000"/>
            <w:position w:val="2"/>
            <w:sz w:val="28"/>
            <w:szCs w:val="28"/>
            <w:lang w:val="uk-UA"/>
          </w:rPr>
          <w:t>1000 кв. м</w:t>
        </w:r>
      </w:smartTag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., на частку яких припадає 42% загальної кількості укладених угод оренди на ринку. У першому кварталі 2012 року у Київі було здано близько 10500 кв.м. офісних приміщень, що на 31% нижче в порівнянні з показником, зареєстрованим у першому кварталі 2004 року, перед початком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lastRenderedPageBreak/>
        <w:t>динамічного економічного зростання в Україні. Крім того, об’єм поглинутих офісних приміщень у першому кварталі 2012 року був на 58% менше в порівнянні з показником, зареєстрованим у першому кварталі 2009 року, у час розпалу економічної кризи.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У зв’язку з поступовим поліпшенням економічної ситуації у країні умови на ринку офісної нерухомості у Київі стають сприятливішими, в 2011 році та у першому кварталі 2012 року багато компаній переїхали в офісні приміщення з кращими характеристиками з точки зору розташування та/або якості. Інші компанії розширили займані площі або провели переговори з власниками приміщень з метою зафіксувати поточні умови оренди на більш тривалий термін напередодні очікуваного відновлення позитивної динаміки ринку.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 – Найбільші угоди з оренди офісних приміщень у Київі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1"/>
        <w:gridCol w:w="1954"/>
        <w:gridCol w:w="2273"/>
        <w:gridCol w:w="2323"/>
      </w:tblGrid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Площа (кв.м)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Профіль орендаря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Розташування*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TNK-BP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5 923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ІСТ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ЗБ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EPAM</w:t>
            </w:r>
            <w:r w:rsidRPr="009457BA">
              <w:rPr>
                <w:rFonts w:ascii="Times New Roman" w:hAnsi="Times New Roman"/>
                <w:noProof/>
                <w:color w:val="000000"/>
                <w:spacing w:val="10"/>
                <w:sz w:val="28"/>
                <w:szCs w:val="28"/>
              </w:rPr>
              <w:t> 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Systems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5 300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ЗБ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  <w:lang w:val="uk-UA"/>
              </w:rPr>
              <w:t>«Воля»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3 460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ІСТ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СБ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PwC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3 292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Бізнес-сервіс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ЦДР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Microsoft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2 908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ЦДР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  <w:lang w:val="uk-UA"/>
              </w:rPr>
              <w:t>Посольство Канади в Україні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2 264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Посольство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SEB</w:t>
            </w:r>
            <w:r w:rsidRPr="009457BA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Bank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 xml:space="preserve">1 991 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ЦДР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10"/>
                <w:sz w:val="28"/>
                <w:szCs w:val="28"/>
              </w:rPr>
              <w:t>Software</w:t>
            </w:r>
            <w:r w:rsidRPr="009457BA">
              <w:rPr>
                <w:rFonts w:ascii="Times New Roman" w:hAnsi="Times New Roman"/>
                <w:noProof/>
                <w:color w:val="000000"/>
                <w:position w:val="1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10"/>
                <w:sz w:val="28"/>
                <w:szCs w:val="28"/>
              </w:rPr>
              <w:t>Outsourcing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1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10"/>
                <w:sz w:val="28"/>
                <w:szCs w:val="28"/>
              </w:rPr>
              <w:t>Team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1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1 140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ІСТ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1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EniS.p.A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793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Енергетика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Поділ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Porsche</w:t>
            </w:r>
            <w:r w:rsidRPr="009457BA">
              <w:rPr>
                <w:rFonts w:ascii="Times New Roman" w:hAnsi="Times New Roman"/>
                <w:noProof/>
                <w:color w:val="000000"/>
                <w:spacing w:val="9"/>
                <w:sz w:val="28"/>
                <w:szCs w:val="28"/>
              </w:rPr>
              <w:t> </w:t>
            </w:r>
            <w:r w:rsidRPr="009457BA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Leasing</w:t>
            </w:r>
            <w:r w:rsidRPr="009457BA">
              <w:rPr>
                <w:rFonts w:ascii="Times New Roman" w:hAnsi="Times New Roman"/>
                <w:noProof/>
                <w:color w:val="000000"/>
                <w:spacing w:val="9"/>
                <w:sz w:val="28"/>
                <w:szCs w:val="28"/>
              </w:rPr>
              <w:t> 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Ukraine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662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ЗБ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KPMG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515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Бізнес-сервіс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ЦДР</w:t>
            </w:r>
          </w:p>
        </w:tc>
      </w:tr>
      <w:tr w:rsidR="006C37D0" w:rsidRPr="009457BA" w:rsidTr="00583207">
        <w:tc>
          <w:tcPr>
            <w:tcW w:w="2820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Group SEB</w:t>
            </w:r>
          </w:p>
        </w:tc>
        <w:tc>
          <w:tcPr>
            <w:tcW w:w="2065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</w:rPr>
              <w:t>400</w:t>
            </w:r>
          </w:p>
        </w:tc>
        <w:tc>
          <w:tcPr>
            <w:tcW w:w="2328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2357" w:type="dxa"/>
          </w:tcPr>
          <w:p w:rsidR="006C37D0" w:rsidRPr="009457BA" w:rsidRDefault="006C37D0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СБ</w:t>
            </w:r>
          </w:p>
        </w:tc>
      </w:tr>
    </w:tbl>
    <w:p w:rsidR="006C37D0" w:rsidRPr="009457BA" w:rsidRDefault="006C37D0" w:rsidP="006C37D0">
      <w:pPr>
        <w:spacing w:after="0" w:line="360" w:lineRule="auto"/>
        <w:ind w:firstLine="709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sz w:val="28"/>
          <w:szCs w:val="28"/>
        </w:rPr>
        <w:lastRenderedPageBreak/>
        <w:t>Джерело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: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DTZ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Research</w:t>
      </w:r>
    </w:p>
    <w:p w:rsidR="006C37D0" w:rsidRPr="009457BA" w:rsidRDefault="006C37D0" w:rsidP="006C37D0">
      <w:pPr>
        <w:spacing w:after="0" w:line="360" w:lineRule="auto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* ЦДР – Центральний діловий район, НЦ – ЗБ – нецентральний діловий район на західному березі ріки Дніпро, НЦ – СБ – нецентральний район на східному березі ріки Дніпро.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Проте значна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частина орендарів, зокрема, малих і середніх підприємств, до сих пір працює в переформатованих житлових приміщеннях та колишніх промислових будівлях, що пов’язано як із наслідками економічної кризи, так й з відсутністю довіри в цілому до об’єктів, що будуються. Отже, орендарями офісної частини «Київ-Сіті» переважно будуть компанії, які зацікавлені в розширенні своїх офісних приміщень у Києві, бажають переїхати в інші офісні приміщення або консолідувати свої теперішні локації по місту в єдиний будинок.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Згідно з результатами проведеного опитування великих корпоративних орендарів у Києві, представники практично всіх секторів економіки підтвердили наміри розширити штат та/або площу своїх офісних приміщень (рис.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).</w:t>
      </w:r>
    </w:p>
    <w:p w:rsidR="006C37D0" w:rsidRPr="009457BA" w:rsidRDefault="006C37D0" w:rsidP="006C37D0">
      <w:pPr>
        <w:spacing w:after="0" w:line="360" w:lineRule="auto"/>
        <w:jc w:val="center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000000"/>
          <w:position w:val="3"/>
          <w:sz w:val="28"/>
          <w:szCs w:val="28"/>
          <w:lang w:val="ru-RU" w:eastAsia="ru-RU"/>
        </w:rPr>
        <w:drawing>
          <wp:inline distT="0" distB="0" distL="0" distR="0">
            <wp:extent cx="4279900" cy="30543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D0" w:rsidRPr="009457BA" w:rsidRDefault="006C37D0" w:rsidP="006C37D0">
      <w:pPr>
        <w:spacing w:after="0" w:line="360" w:lineRule="auto"/>
        <w:jc w:val="center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Рис.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– Структура компаній за наміром розширення штату та/або площу офісних приміщень у Києві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Винятком є комерційні банки (14% респондентів у секторі надали позитивну відповідь) та юридичні компанії (33% позитивних відповідей).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Найпозитивніші тенденції щодо перспективного зростання у найближчі 5 років було зафіксовано у сільському господарстві, логістиці, ІТ секторі, виробництві і дистрибуції товарів, рекламі і медіа, а також фінансовому секторі за винятком банків.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Згідно з результатами проведеного опитування великих корпоративних орендарів офісної нерухомості у Києві, ділянки уздовж ріки Дніпро (в тому числі і на лівому березі) є потенційно привабливими для компаній усіх секторів, особливо для комерційних банків та інших компаній у фінансовому секторі, у секторі інформаційних технологій, торгівлі, секторі реклами та медіа, сільському господарстві, а також для виробничих і дистрибуційних компаній (рис.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).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В той же час практично половина опитаних юридичних компаній (50%), посольств, урядових і неурядових організацій (50%), а також компаній у торгівельному (75%) ат логістичному секторі не готові сьогодні розглядати такий варіант.</w:t>
      </w:r>
    </w:p>
    <w:p w:rsidR="006C37D0" w:rsidRPr="009457BA" w:rsidRDefault="006C37D0" w:rsidP="006C37D0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144010" cy="3560445"/>
            <wp:effectExtent l="0" t="0" r="889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35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D0" w:rsidRPr="009457BA" w:rsidRDefault="006C37D0" w:rsidP="006C37D0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Оцінка потенційної привабливості ділянок уздовж р. Дніпро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Ділянка, розташована в районі Одеської площі у Києві, є найбільш привабливою для розташування офісних приміщень опитаних компаній у </w:t>
      </w: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секторах логістики, сільському господарстві, юридичних компаній та інших бізнес-консультантів, комерційних банків та ІТ компаній (рис.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>).</w:t>
      </w:r>
    </w:p>
    <w:p w:rsidR="006C37D0" w:rsidRPr="009457BA" w:rsidRDefault="006C37D0" w:rsidP="006C37D0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250690" cy="32683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690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D0" w:rsidRPr="009457BA" w:rsidRDefault="006C37D0" w:rsidP="006C37D0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Оцінка потенційної привабливості ділянки біля Одеської площі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Ділянка, розташована на лівому березі Дніпра уздовж траси до міжнародного аеропорту Бориспіль, є потенційно привабливою для транспортних компаній та компаній, що надають бізнес послуги, а також ІТ та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виробничо-дистрибуційних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компаній (рис.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>).</w:t>
      </w:r>
    </w:p>
    <w:p w:rsidR="006C37D0" w:rsidRPr="009457BA" w:rsidRDefault="006C37D0" w:rsidP="006C37D0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211955" cy="305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955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D0" w:rsidRPr="009457BA" w:rsidRDefault="006C37D0" w:rsidP="006C37D0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Оцінка потенційної привабливості ділянки уздовж траси до міжнародного аеропорту Бориспіль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Аналіз тенденцій попиту в аналогічних нових ділових районах в Європі та у Москві показує, що орендарями, які у першу чергу переїздять в нові ділові райони, є ті компанії, що займають і потребують найбільшу площу офісних приміщень. Це особливо стосується перших корпоративних орендарів, яких залучають у такі масштабні містобудівні проекти. Компанії з великим штатом працівників не лише потребують більшої площі, але й переважно зацікавлені в оренді офісних будівель з великою площею поверху і ефективним плануванням відкритого типу.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Виходячи із проаналізованих тенденцій і міркувань можна визначити, що цільовими орендарями у проекті «Київ-Сіті» будуть компанії, що працюють у фінансовому секторі, промисловому і виробничому секторах, у секторі реклами та медіа, в інформаційно-комунікаційному секторі, сфері торгівлі, готельному бізнесі, приватній медицині.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Фінансовий сектор.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У короткостроковому періоді (наступні 5 років) цей сектор не буде суттєвим генератором попиту на офісні приміщення, але з часом розвиток фінансового сектору призведе до того, що фінансові компанії і комерційні банки нададуть один з найбільших попитів на офісну нерухомість в Києві.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Вже в короткостроковій перспективі декілька комерційних банків шукають можливості для консолідації свого портфоліо офісних приміщень, які сьогодні розташовані у різних частинах міста, і оренди приміщень більшої площі, вищої якості, а також за нижчою орендною ставкою. Саме такі можливості створює для них проект «Київ-Сіті».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Як свідчать результати проведенного опитування, компанії у фінансовому секторі продемонстрували дуже високий інтерес до можливості розташування у проекті. Комерційні банки, що є переважно міжнародними компаніями, є чутливими до затрат на робочу силу і приміщення при прийнятті рішень про розподіл ресурсів. Наявність ефективних і недорогих офісних приміщень є для них дуже вагомим фактором.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Проведений аналіз дозволяє дійти висновку, що фінансовий сектор у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проекті «Київ-Сіті» забезпечить:</w:t>
      </w:r>
    </w:p>
    <w:p w:rsidR="006C37D0" w:rsidRPr="009457BA" w:rsidRDefault="006C37D0" w:rsidP="006C37D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25% до 40% загального попиту на офісні приміщення у проекті;</w:t>
      </w:r>
    </w:p>
    <w:p w:rsidR="006C37D0" w:rsidRPr="009457BA" w:rsidRDefault="006C37D0" w:rsidP="006C37D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7000 до 12 000 робочих місць.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Промисловий і виробничий сектор.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Максимум 56% всіх опитаних виробничих і дистрибуційних компаній були потенційно зацікавлені в офісних приміщеннях у проекті «Київ-Сіті». Однак, зважаючи на значну питому вагу цього сектору в загальному обсязі попиту в сегменті офісної нерухомості у Києві, він володіє високим потенціалом для «Київ-Сіті».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Вимоги промислових, виробничих і дистрибуційних компаній до офісних приміщень є подібними до тих, які мають компанії фінансового сектору: ефективні приміщення великої площі, хороша видимість із головних транспортних магістралей у районі, середній рівень орендних ставок і розташування в районі з добре розвиненою системою громадського транспорту.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Зважаючи на це, можна очікувати, що промисловий і виробничий сектор у проекті «Київ-Сіті» забезпечить:</w:t>
      </w:r>
    </w:p>
    <w:p w:rsidR="006C37D0" w:rsidRPr="009457BA" w:rsidRDefault="006C37D0" w:rsidP="006C37D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10% до 25% загального попиту на офісні приміщення у проекті;</w:t>
      </w:r>
    </w:p>
    <w:p w:rsidR="006C37D0" w:rsidRPr="009457BA" w:rsidRDefault="006C37D0" w:rsidP="006C37D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2 500 до 5 500 робочих місць.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Реклама та медіа.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Хоча цей сектор є невеликим, він має суттєвий потенціал зростання і проявив високу попередню зацікавленість проектом «Київ-Сіті» у випадку його розташування на лівоберіжжі.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Виходячи із міжнародного досвіду, компанії цього сектору, як правило, охоче переїжджають до офісних приміщень у нових ділових районах, але для них ключовим фактором прийняття відповідного рішення є наявність розвинутої соціально-побутової інфраструктури.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Зважаючи на менший розмір цього сектору в Україні, можна очікувати, що він у проекті «Київ-Сіті» забезпечить:</w:t>
      </w:r>
    </w:p>
    <w:p w:rsidR="006C37D0" w:rsidRPr="009457BA" w:rsidRDefault="006C37D0" w:rsidP="006C37D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5% до 15% загального попиту на офісні приміщення у проекті;</w:t>
      </w:r>
    </w:p>
    <w:p w:rsidR="006C37D0" w:rsidRPr="009457BA" w:rsidRDefault="006C37D0" w:rsidP="006C37D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1 500 до 5 000 робочих місць.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Сектор інформаційно-комунікаційних технологій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. Попередній аналіз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показує, що цей сектор залишиться одним із основних генераторів попиту на офісні приміщення у Києві, а тому є одним з цільових груп орендарів у перспективному діловому районі «Київ-Сіті», проте не на перших етапах реалізації проекту, коли у проекті ще не буде критичної маси і цей новий район ще не сформується.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Найважливішим фактором для компаній в ІСТ секторі є не вартість оренди офісних приміщень, а привабливість для найталановітіших працівників і створення для них мотиваційного робочего середовища.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Компанії в секторі ІСТ будуть й надалі розвиватися, спеціалізуючись або на креативній та розробницькій діяльності, або на рутинній функції підтримки. Для кожної з таких функцій є особливі умови щодо офісних приміщень.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Креативний творчий сегмент компаній не дуже полюбляє офісні будівлі формату бізнес-парк. Однак для спеціалістів, які виконують рутинні функції підтримки, такий тип приміщень є оптимальним, оскільки вони зацікавлені в оренді дешевших офісних приміщень більшої площі, розташованих в районах з добре розвиненою системою громадського транспорту, оскільки їх основними працівниками є молоді спеціалісти без власного автомобіля.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Зважаючи на ці міркування, можна очікувати, що у проекті «Київ-Сіті» цей сектор забезпечить:</w:t>
      </w:r>
    </w:p>
    <w:p w:rsidR="006C37D0" w:rsidRPr="009457BA" w:rsidRDefault="006C37D0" w:rsidP="006C37D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10% до 20% загального попиту на офісні приміщення у проекті;</w:t>
      </w:r>
    </w:p>
    <w:p w:rsidR="006C37D0" w:rsidRPr="009457BA" w:rsidRDefault="006C37D0" w:rsidP="006C37D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1 500 до 5 000 робочих місць.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Інші менші сегменти ділової активності можуть забезпечити від 3 000 до 16 000 робочих місць у проекті. Таким чином, за 20 років у проекті «Київ-Сіті» може бути створено від 25 000 до 30 000 робочих місць.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Хоча на початкових фазах реалізації проекту «Київ-Сіті» більша частина попиту на офісні приміщення у проекті буде генеруватися компаніями у цих цільових секторах ділової активності, які займатимуть найбільші площі, на більш піздніших етапах у проекті з’являться інші менші компанії з більшості секторів економіки (наприклад, компанії у секторі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бізнес-послуг переважно переміщуються до проектів такого типу тоді, коли там вже утвердяться їхні ключові клієнти.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Крім того, перші орендарі суттєво впливають на профіль орендарів у подібному проекті, якщо перші орендарі будуть, наприклад, великі фінансові компанії, то інші компанії фінансового сектору також ймовірно перемістяться до проекту.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3.3.1.2. Торгівельна складова проекту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У проекті «Київ-Сіті» передбачено дві основні типи торгівельних функцій: супутня торгівля для задоволення щоденних потреб мешканців і орендарів, а також вликоформатний об’єкт торгівельної нерухомості із більшою зоною охоплення.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Супутня торгівля і заклади харчування.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Проект «Киів-Сіті» передбачає створення середовища, яке містить всі необхідні послуги та об’єкти соціально-побутової інфраструктури для задоволення потреб мешканців і тимчасово перебуваючих у районі офісних працівників.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Горизонтальна і вертикальна структури «Київ-Сіті» гарантує, що окремі квартали у новому районі не будуть залежати від однієї функції і не будуть використовуватися лише впродовж окремих проміжків часу, будучи практично мертвими в інші часи доби. Наявність закладів супутньої торгівлі і харчування відіграє фундаментальну роль у забезпеченні цієї умови й привносить життя у райони домінуючої офісної забудови в позаробочий час.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Супутня торгівля і заклади харчування у «Київ-сіті» будуть розташовані переважно на перших поверхах офісних будівель і, частково, житлових будівель.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На піздніших етапах реалізації проекту, коли площа офісної і житлової частин в ньому становитиме по 60 000 кв. м, на додачу до магазинів супутньої торгівлі передбачається створення торгівельного центру орендною площею близько 1 000 – 2 000 кв. м.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Торгівельні об’єкти повинні займати від 1/3 до ½ перших поверхів будівель, що, залежно від щільності забудови, становить від 3% до 6% загальної площі забудови у проекті. При цьому буде зберігатися оптимальний баланс між закладами громадського харчування, магазинами та іншими закладами громадських послуг. Квартали у проекті із більшою офісною складовою забезпечуватимуся більшою кількістю закладів громадського харчування, в той час як у кварталах з житловою домінантою буде розташовано більше магазинів.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Загальна площа супутньої торгівлі в проекті «Київ-Сіті» складатиме близько 30 000 кв. м або 3% від загальної площі забудови у проекті, проте наведені дані є мінімальними показниками.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Громадське харчування і гастрономія є ключовим компонентом торгівельної нерухомості у «Київ-Сіті», оскільки він забезпечуватиме високу активність (соціальний контроль) у проекті в неробочий час. Цей сектор стане місцем обіднього харчування близько 30 000 працівників у новому районі міста, а також потенційним місцем вечірнього часопроведення для частини мешканців його житлової частини.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За умов, що у піковий обідній час в робочі дні закладами харчування скористається близько 75% офісних працівників, щоденно у проекті «Київ-Сіті» існуватиме попит на 20 000 ланчів, тобто загалом потрібно близько 3 600 посадочних місць у ресторанах або кафетеріях сукупною площею 7 000 – 9 000 кв. м, що є еквівалентом 1/3 площі торгівельних приміщень в проекті «Київ-Сіті».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Інноваційні торгівельні приміщення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. Проект «Київ-Сіті» полягає у створенні особливого району міста, що буде відображено у торгівельних приміщеннях і можливостях у новому районі. Стандартні торгівельні заклади, орієнтовані на задоволення щоденних потреб, будуть поєднуватися з новими концептуальними закладами, які будуть притаманні спеціфічній локації і відображати потреби спеціфічної категорії компаній – офісних орендарів. Серед них передбачаються креативні торгівельні заклади, які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приваблюють молодше покоління і не можуть бути реалізовані в центральних районах міста у зв’язку з високою орендною платою. Такі концепції є, переважно, комбінацією досвіду нішового шопінгу із приміщенням для зустрічей і спілкування.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Заклади торгівлі для задоволення базових щоденних потреб.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Стандартні заклади торгівлі, від продуктових до спеціалізованих магазинів, будуть розташовані у проекті «Київ-Сіті» для задоволення потреб у придбанні товарів повсякденного вжитку як офісними працівниками, так й мешканцями житлової частини комплексу.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Типовими орендарями закладів торгівлі, оріентованих на задоволення базових потреб, є невеликі магазини продуктових мереж (площею 150 – 200 кв. м), книжкові магазини і преса, винні і делікатесні магазини, магазини електроники і спеціалізовані магазини передових технологій. Площа таких магазинів, за винятком продуктових, буде становити від 20 кв. м до максимум 100 кв. м. Розташовуватимутся вони у житлової частині комплексу.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Об’єкти соціально-побутової інфраструктури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Об’єкти соціально-побутової інфраструктури є важливою складовою проекту «Київ-Сіті» для забезпечення його майбутнього активного суспільного життя, а також мінімізації потреб мешканців і працівників району шукати такі базові послуги, як банківські відділення, страхування, туристичні агенції, пральні, хімчистки, ремонт одягу і взуття, аптеки тощо.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Для таких орендарів потрібні приміщення від 40 кв. м до 200 кв. м, які в ідеальному випадку повинні бути розташовані на першому поверсі офісних будівель. В офісних будівлях приміщення, як правило, здаються в оренду, в житлових – продаються.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Такі орендарі з’являються в новому діловому районі після того, як він набере критичної маси і вже не буде чутливим до потенційної конкуренції. Однак частину цих базових послуг необхідно забезпечити на початковому етапі його реалізації, щоб привабити перших крупних орендарів.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Торгівельно-розважальний центр (ТРЦ)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. Розташування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великоформатного ТРЦ в новому багатофункціональному районі ставить під серьозну загрозу можливість створення у ньому необхідної маси супутньої торгівлі. Тому передбачається створення ТРЦ меншого формату на пізньому етапі реалізації проекту, коли він буде відіграти позитивну роль каталізатору для всієї торгівельної динаміки району.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ТРЦ буде базуватися на розважальній функції (зокрема містити кінотеатр) і магазинах модних товарів, не конкуруючи із закладами супутньої торгівлі.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Склад орендарів ТРЦ зазвичай залежить від таких факторів, як: розташування; доступність громадським і автомобільним транспортом; тип потенційних орендарів, якірні орендарі.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ТРЦ у проекті «Київ-Сіті» базуватиметься на продуктовому супермаркеті, торгівельної галереї у складі 70 – 120 магазинів, супермаркеті електроніки і побутової техніки, а також розважальній складовій і фуд-корті.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3.3.1.3. Спортивні заклади у проекті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Спортивні та фітнес заклади, за результатами опитування потенційних орендів нерухомості у проекті, були визначені як такі, що є найнеобхіднішими об’єктами соціально-побутової інфраструктури поблизу офісних приміщень.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Спортивні заклади у перспективному міському проекті «Київ-Сіті» можна розділити на дві основні категорії відповідно до їх фінансової доцільності і потреби у субсидіях: заклади комерційного спрямування (фітнес-центри, приватні елітні спортивно-оздоровчі клуби) і заклади, що потребують субсидій.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Фітнес-центри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. Невеликі традиційні фітнес-центри у приміщеннях площею 600 – 1000 кв. м є, як правило, прибутковими закладами, які орендують приміщення по відносно невисокій орендній ставці. Фітнес-центри більших форматів містять зазвичай корти для гри в сквош, басейни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тощо. Типовим орендарем для таких приміщень є мережі фітнес-центрів, які будуть функціонувати у проекті на базі зони охоплення, сформованої офісними працівниками і мешканцями житлової частини комплексу.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Зважаючи на суттєвий об’єм житла, який виводиться на ринніх етапах проекту, фітнес-центр може бути відкритий у «Київ-Сіті» уже на 2 – 3 рік реалізації.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Приватні елітні спортивно-оздоровчі клуби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Зазначені спортивно-оздоровчі клуби, як правило, реалізуються у вищій ціновій категорії і мають дорожче членство порівняно з традиційними фітнес-центрами. Головними перевагами таких закладів є розташування у них масштабного басейну, а також великої кількосіт приміщень для відпочинку і спілкування.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Для забезпечення успішного функціонування таких закладів та їх фінансової доцільності необхідна велика кількість робочих місць у проекті, що стане можливим у «Київ-Сіті» не раніше виведення, принаймні, половини приміщень, запланованих у проекті.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Субсидійовані спортивні заклади. Масштабні спортивні заклади, в тому числі спортивні споруди на відкритому повітрі, будуть важливою складовою проекту «Київ-Сіті», котрий позиціонуватиметься як проект, при розробці якого особлива увага приділялася питанням сталого розвитку та екологічності, а також необхідності забезпечити здорове середовище та якісний стиль життя.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Спортивний клуб у перспективному проекті «Київ-Сіті» передбачається збудувати девелоперським агентством проекту і передати зовнішньому спеціалізованому оператору – орендареві на тендерній основі. Цей орендар буде відповідальним за утримання і подальше розширення клубу, а також буде сплачувати орендну плату.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3.3.1.4. Приватні медичні установи у проекті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Приватні медичні заклади у «Київ-Сіті» будуть представлені як у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форматі невеликих медичних кабінетів площею від 100 кв. м до 1000 кв. м, розташованих на перших поверхах офісних будівель, так й у форматі повноцінного медичного центру в окремій будівлі.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Для обох категорій закладів новий район «Київ-Сіті» пропонуватиме ідеальне привабливе середовище, сформоване працівниками висококласних компаній – орендарів і заможними мешканцями житлових районів.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Вже у першій фазі реалізації проекту «Київ-Сіті», після того, як в районі з’являться перші орендарі і мешканці, буде залучено медичні заклади як орендарі перших поверхів офісних будівель.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Одночасно «Київ-Сіті» буде приваблювати приватні медичні кліники середнього розміру площею 2 000 – 10 000 кв. м з комплексною пропозицією послуг.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На даний час у Києві оперує відносно невелика кількість таких закладів, і вони розташовані у престижних житлових районах міста. Однак з розвитком проекту «Київ-Сіті» та його житлової частини, він стане привабливим районом для розташування подібних приватних кліник.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3.3.1.5. Орендарі готельної нерухомості м. Київ, конференц-приміщення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Готелі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Ринок готельної нерухомості може бути розділений на дві категорії: міжнародні мережеві готелі преміум класу/готелі вищої та вище середньої цінової категорії та самостійно оперовані локальні готелі. Міжнародний бізнес-сегмент є майже єдиним користувачем мережевих готелів. Сегмент відпочинку та розваг повністю представлений локальними, не мережевими операторами. Консультації з міжнародними мережевими операторами готельної нерухомості, присутніми на національному ринку, виявили очікування зниження попиту в коротко та середньостроковій перспективі в сегменті міжнародних мережевих готелів преміум класу/вищої та вище середньої цінової категорії в розмірі до 25%.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 xml:space="preserve">За даними Державного комітету статистики, на 2011 рік у Києві налічувалося 133 готеля та інших закладів короткострокового проживання, або 9807 номерів, більшість з яких представлені в локальному економ-сегменті. Близько 27% від всієї якісної пропозиції готельних номерів у м. Київ оперовані міжнародними готельними операторами. Якісні конкурентоспроможні готелі у м. Київ включають наступні: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Hyatt,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Intercontinental,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Radisson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Blu,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«</w:t>
      </w:r>
      <w:r w:rsidRPr="009457BA">
        <w:rPr>
          <w:rFonts w:ascii="Times New Roman" w:hAnsi="Times New Roman"/>
          <w:noProof/>
          <w:color w:val="000000"/>
          <w:spacing w:val="-4"/>
          <w:sz w:val="28"/>
          <w:szCs w:val="28"/>
        </w:rPr>
        <w:t>Опера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»,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«</w:t>
      </w:r>
      <w:r w:rsidRPr="009457BA">
        <w:rPr>
          <w:rFonts w:ascii="Times New Roman" w:hAnsi="Times New Roman"/>
          <w:noProof/>
          <w:color w:val="000000"/>
          <w:spacing w:val="-5"/>
          <w:sz w:val="28"/>
          <w:szCs w:val="28"/>
        </w:rPr>
        <w:t>Прем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’</w:t>
      </w:r>
      <w:r w:rsidRPr="009457BA">
        <w:rPr>
          <w:rFonts w:ascii="Times New Roman" w:hAnsi="Times New Roman"/>
          <w:noProof/>
          <w:color w:val="000000"/>
          <w:spacing w:val="-2"/>
          <w:sz w:val="28"/>
          <w:szCs w:val="28"/>
        </w:rPr>
        <w:t>єр</w:t>
      </w:r>
      <w:r w:rsidRPr="009457BA">
        <w:rPr>
          <w:rFonts w:ascii="Times New Roman" w:hAnsi="Times New Roman"/>
          <w:noProof/>
          <w:color w:val="000000"/>
          <w:spacing w:val="-2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Палац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»,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«</w:t>
      </w:r>
      <w:r w:rsidRPr="009457BA">
        <w:rPr>
          <w:rFonts w:ascii="Times New Roman" w:hAnsi="Times New Roman"/>
          <w:noProof/>
          <w:color w:val="000000"/>
          <w:spacing w:val="1"/>
          <w:sz w:val="28"/>
          <w:szCs w:val="28"/>
        </w:rPr>
        <w:t>Рив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’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єра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»,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2"/>
          <w:position w:val="3"/>
          <w:sz w:val="28"/>
          <w:szCs w:val="28"/>
        </w:rPr>
        <w:t>Ibis</w:t>
      </w:r>
      <w:r w:rsidRPr="009457BA">
        <w:rPr>
          <w:rFonts w:ascii="Times New Roman" w:hAnsi="Times New Roman"/>
          <w:noProof/>
          <w:color w:val="000000"/>
          <w:spacing w:val="-2"/>
          <w:position w:val="3"/>
          <w:sz w:val="28"/>
          <w:szCs w:val="28"/>
          <w:lang w:val="uk-UA"/>
        </w:rPr>
        <w:t xml:space="preserve">,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Fairmont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Grand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Hotel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Kyiv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, </w:t>
      </w:r>
      <w:r w:rsidRPr="009457BA">
        <w:rPr>
          <w:rFonts w:ascii="Times New Roman" w:hAnsi="Times New Roman"/>
          <w:noProof/>
          <w:color w:val="000000"/>
          <w:spacing w:val="-6"/>
          <w:position w:val="3"/>
          <w:sz w:val="28"/>
          <w:szCs w:val="28"/>
        </w:rPr>
        <w:t>Ramada</w:t>
      </w:r>
      <w:r w:rsidRPr="009457BA">
        <w:rPr>
          <w:rFonts w:ascii="Times New Roman" w:hAnsi="Times New Roman"/>
          <w:noProof/>
          <w:color w:val="000000"/>
          <w:w w:val="235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4"/>
          <w:position w:val="3"/>
          <w:sz w:val="28"/>
          <w:szCs w:val="28"/>
        </w:rPr>
        <w:t>Encore</w:t>
      </w:r>
      <w:r w:rsidRPr="009457BA">
        <w:rPr>
          <w:rFonts w:ascii="Times New Roman" w:hAnsi="Times New Roman"/>
          <w:noProof/>
          <w:color w:val="000000"/>
          <w:spacing w:val="-4"/>
          <w:position w:val="3"/>
          <w:sz w:val="28"/>
          <w:szCs w:val="28"/>
          <w:lang w:val="uk-UA"/>
        </w:rPr>
        <w:t>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Опитані офісні орендарі висловлюють високу зацікавленість у бізнес-готелях бюджетної і середньої цінових категорій, а також конференц-приміщеннях, які повинні бути розташовані поблизу їхніх офісних приміщень.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Опитані готельні оператори, які домінують в сегменті бізнес-готелів, були також потенційно зацікавлені у відкритті своїх готелів в рамках «Київ-Сіті», однак залежно від місця розташування та концепціїї проекту. На ранніх стадіях реалізації «Київ-Сіті» проект не буде мати критичної маси офісної складової, яка змогла би генерувати достатній попит для підтримання нормального функціонування готелю. Тому буль-який перспективний готель, відкритий у проекті на його початковому етапі, повинен буде покладатися на переваги розташування, а також доступність із центральної частини Києва та Міжнародного аеропорту «Бориспіль».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Для розташування готелю у проекті «Київ-Сіті» передбачені ділянки, розташовані безпосередньо з виходом на набережну, з доброю видимістю із головної магістралі, котра веде до Міжнародного аеропорту «Бориспіль»; вони будуть мати високий потенціал для готелів середньої цінової категорії навіть на ранньому етапі реалізації проекту.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Загалом в «Київ-Сіті» доцильно розташувати три готелі (2 готелі 4-х зіркові та 1 3-х зірковий), кожний з номерним фондом від 100 до 250 номерів і можливістю розширення.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Конференц-приміщення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. Конференц-центр є одним з ключових об’єктів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у перспективному проекті «Київ-Сіті», однак це не дуже прибутковий і нелегкий в оперуванні заклад, особливо на ранньому етапі девелопменту нового міського району, коли його офісна складова буде ще дуже невеликою.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Організація та проведення конференцій є частиною конгрес-туризму, який також складається із організації форумів, симпозіумів, конференцій, виставок, бізнес-зустрічей та інших заходів. Згідно з Всесвітньою торгівельною організацією, конгрес-туризм складає 10 – 12% від загального обсягу бізнес-туризму у світі. В той же час, бізнес-туризм (який також називають МІСЕ-туризм або зустрічі, заохочувальні тури, конференції і виставки) складає близько 30% від загального світового туризму.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Компанії, що бажають організувати конференцію у Києві, роблять це своїми силами або винаймають спеціалістів з агенцій у сфері організації корпоративних заходів.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Конференц-послуги включають в себе організацію та, іноді, проведення конференцій. Існує багато подібних агенцій, а також бюро перекладів та туристичних агенцій. Вартість послуг з організації конференцій залежить від їх виду, а також від репутації агенції, що займається їх організацією. Комісійні таких агенцій становлять близько 10 – 15% від їх загальної вартості.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Вибір місця проведення конференцій залежить від головної мети, теми, розміру та бюджету конференцій, а також статусу відвідувачів.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Більшість конференцій у Києві, особливо конференцій вищого рівня, проводяться у конференц-холах готелів. Вони зазвичай пропонують приміщення вищої якості та кращий банкетний сервіс, ніж інші приміщення. Також вони є зручнішими для закордоних учасників, які можуть зупинитися у тому ж готелі на час проведення конференції.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На даний момент наявність високоякісних та доступних приміщень для проведення конференцій з прийнятим рівнем комфортабельності у Києві є достатньо обмеженою. Спостерігається дефіцит трьохзіркових готелів, що можуть запропонувати конференційні приміщення європейської якості у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середній ціновій категорії.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Існує два варіанти створення конференц-центру у проекті: як окремої будівлі поблизу готелів з окремою структурою власності, або як складової одного з готелів. Проте на ранньому етапі реалізації проекту «Київ-Сіті» попит на послуги конференц-центру буде недостатнім. Тому девелоперів готелів на ранніх етапах реалізації проекту буде зобов’язано включити до складу своїх будівель невеликі приміщення для зустричей (не обов’язково конференцій) площею 400 – 500 кв. м.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На пізніших етапах проекту, на основі тестування попиту готельних операторів та інших операторів у сегменті, буде прийматися рішення щодо доцільності розташування в «Київ-Сіті» окремого конференц-центру в якості невеликого інвестиційного проекту або просто розширити існуючи конференц-приміщення у готелях.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</w:p>
    <w:p w:rsidR="006C37D0" w:rsidRPr="009457BA" w:rsidRDefault="006C37D0" w:rsidP="006C37D0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bookmarkStart w:id="0" w:name="_GoBack"/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3.3.1.6. Житлова складова проекту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«Київ-Сіті» стане діловим районом, привабливим для користувачів житла бізнес та економ-класу. Для цього житлова нерухомість повинна бути особливо привабливою для молодих спеціалістів та сімей, що зацікавлені у відносно доступному та ліквідному житлі, розташованому поблизу місць праці членів домогосподарств, у перспективному динамічному міському районі із хорошою транспортною доступністю, розвинутою соціально-побутовою інфраструктурою і ефективною прибудинковою територією.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З точки зору класу і цінового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позиціювання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у проекті «Київ-Сіті» є можливість створити комбінацію різних типів житла. Дешевше житло доцільно побудувати на початковому етапі проекту, а на пізніших його етапах створити більш ексклюзивне житло вищої цінової категорії, забезпечивши йому вищу ступінь інтимності і кращий доступ до привабливих частин території (набережної ріки, зелених насаджень, хороших видів тощо).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Житлову складову проекту «Київ-Сіті» буде зосереджено на 1-</w:t>
      </w: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 xml:space="preserve">кімнатних (40 – 50 кв. м), 2-кімнатних (60 – 70 кв. м) та 3-кімнатних (75 – 90 кв. м) квартирах.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Паркувальний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коефіцієнт в житловій частині проекту буде складати 1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паркувальне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місце на кожні 75 кв. м житлової площі.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Житлова частина проекту «Київ-Сіті» буде користуватися об’єктами соціально-побутової інфраструктури в офісній частині проекту (в тому числі спортивно-оздоровчими центрами, приватними медичними закладами, ресторанами, кафе та іншими закладами торгівлі), а також забезпечуватиме їх ефективне використання.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Додаткові заклади соціально-побутової інфраструктури будуть розташовані у житловій частині проекту, переважно у форматі комерційних приміщень на перших поверхах житлових будівель. Серед них передбачаються: салони краси, додаткові відділення комерційних банків, аптеки, центри позашкільної освіти для дітей і дорослих, невеликі дитячі центри і центри раннього розвитку тощо.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Житлова частина проекту матиме озеленені відпочинкові території загального користування та дитячі ігрові майданчики. Крім того, соціально-побутова інфраструктура буде містити об’єкти, передбачені Державними будівельними нормами (дитячі заклади дошкільної освіти, школи тощо).</w:t>
      </w:r>
    </w:p>
    <w:p w:rsidR="006C37D0" w:rsidRPr="009457BA" w:rsidRDefault="006C37D0" w:rsidP="006C37D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Житло у перспективному діловому районі «Київ-Сіті» буде відповідати високим стандартам якості як самих квартир, так й прибудинкової території і соціально-побутової інфраструктури, що особливо важливе з урахуванням низької якості житлової нерухомості у Києві.</w:t>
      </w:r>
    </w:p>
    <w:p w:rsidR="00FD1633" w:rsidRDefault="00C320F6" w:rsidP="00C320F6">
      <w:pPr>
        <w:tabs>
          <w:tab w:val="left" w:pos="7001"/>
        </w:tabs>
      </w:pPr>
      <w:r>
        <w:tab/>
      </w:r>
      <w:bookmarkEnd w:id="0"/>
    </w:p>
    <w:sectPr w:rsidR="00FD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E6971"/>
    <w:multiLevelType w:val="hybridMultilevel"/>
    <w:tmpl w:val="C5A49D42"/>
    <w:lvl w:ilvl="0" w:tplc="3BB291F4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FE"/>
    <w:rsid w:val="006C37D0"/>
    <w:rsid w:val="00A948FE"/>
    <w:rsid w:val="00C320F6"/>
    <w:rsid w:val="00F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D0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7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37D0"/>
    <w:rPr>
      <w:rFonts w:ascii="Tahoma" w:eastAsia="Times New Roma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D0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7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37D0"/>
    <w:rPr>
      <w:rFonts w:ascii="Tahoma" w:eastAsia="Times New Roma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4815</Words>
  <Characters>27448</Characters>
  <Application>Microsoft Office Word</Application>
  <DocSecurity>0</DocSecurity>
  <Lines>228</Lines>
  <Paragraphs>64</Paragraphs>
  <ScaleCrop>false</ScaleCrop>
  <Company/>
  <LinksUpToDate>false</LinksUpToDate>
  <CharactersWithSpaces>32199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2013-07-18T08:50:00Z</dcterms:created>
  <dcterms:modified xsi:type="dcterms:W3CDTF">2013-07-18T08:55:00Z</dcterms:modified>
</cp:coreProperties>
</file>