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>3.2.3. Варіанти ринкових та конкурентних стратегій та конкурентні переваги інноваційної інфраструктури перед традиційними.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i/>
          <w:sz w:val="28"/>
          <w:szCs w:val="28"/>
          <w:lang w:val="uk-UA"/>
        </w:rPr>
        <w:t xml:space="preserve">Swot-аналіз проекту «Київ-Сіті» 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>Сильні сторони: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Перший масштабний багатофункціональний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у Києві з ключовою офісною складовою.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Ефективно спланований новий район, розроблений із урахувань потреб сталого розвитку, який містить зелені території і створює привабливе середовище для роботи, проживання і розваг.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Високоякісне і скоординоване архітектурне середовище.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Серйозна державна підтримка.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Запропонована концепція базується на потребах ринку і результатах проведеного опитування компаній-орендарів.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Життєздатна з екологічної і фінансової перспектив багатофункціональна забудова із збалансованим співвідношенням житлової і офісної функцій.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Чудове розташування в урбаністичній структурі Києва, потенційно, з можливістю виходу на першу берегову лінію ріки і зручним транспортним сполученням за допомогою метро із Центральним діловим районом міста.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>Можливості: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Потенціал проекту привабити головні високоякісних орендарів  і  стати  новим Центральним діловим районом Києва у довгостроковій перспективі.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Можливість позиціонувати Київ на міжнародній карті ділових районів і привабити нових інвесторів.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Структурний дефіцит якісних житлових і офісних приміщень у Києві, який може зберегтися у середній і навіть довгостроковій перспективі.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Залучення фінансування Європейського Союзу для подальшої роботи над генеральним планом і підготовкою проекту до реалізації, або для створення нового муніципального агентства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проекту.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>Слабкі сторони: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Високі початкові витрати на початкову підготовку ділянки і її інженерне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забезпечення.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Високі затрати і ризик, пов'язаний із консолідацією ділянок і процедурою примусового відчуження для відселення теперішніх користувачів.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Сприйняття України як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високоризикованої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для інвестицій / теперішній дефіцит інтересу міжнародних інвесторів до ринку нерухомості в Україні.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Дуже високі очікування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девелоперів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та інвесторів щодо мінімального рівня доходності інвестицій в Україну, що негативно впливає на інвестиційну привабливість довгострокових проектів.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Теперішня відсутність спеціального правового поля для реалізації масштабних містобудівних проектів.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Офісна складова є «слабшою» у проекті, оскільки в теперішніх умовах попит у сегменті і інвестиційний ринок лише починають відновлюватися після кризи, в той час як житлова нерухомість характеризується вищою ліквідністю.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>Загрози: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Реалізація масштабного містобудівного проекту вимагає політичної стабільності у державі.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Початковий успіх проекту залежатиме від спроможності залучити у нього високоякісні відомі компанії в якості орендарів / користувачів об’єктів офісної нерухомості.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Додаткове державне фінансування необхідне для будівництва нових громадських споруд (наприклад, музею), який служитиме культурним символом проекту.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З метою оптимізації фінансової доцільності «Київ-Сіті» необхідно на початкових його етапах вивести в проекті збільшені об’єми житла.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Відселення теперішніх користувачів і примусове відчуження пов’язані з високими ризиками.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Ризик інженерної та комунальної підготовки ділянок з точки зору часових і бюджетних ресурсів.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Для формування привабливого ділового району для офісних користувачів, проект повинен містити багато закладів інфраструктури (готелі,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спортивні заклади, тощо), які, в свою чергу, потребують критичну масу офісних користувачів для забезпечення їх життєздатності.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РЕКОМЕНДАЦІЇ ЩОДО МАРКЕТИНГОВОЇ І КОМЕРЦІЙНОЇ КОНЦЕПЦІЇ ЗАБУДОВИ ДІЛЯНКИ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Основні висновки з аналізу ринкової доцільності і придатності для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різноманітних об’єктів нерухомості на ділянці в районі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Осокорків-Північних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, викладені нижче: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1) Житло: оскільки ділянка є дуже придатною для житлової забудови, а також зважаючи на порівняно сприятливі умови у цьому сегменті ринку, вважається, що житлова нерухомість є найбільш фінансово доцільним типом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на ділянці.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2) Будівництво офісних приміщень, готелів та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конференц-приміщень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з супутньої торгівельною і соціально-побутовою інфраструктурою є також доцільним на ділянці за умови її комплексного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редевелопменту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, беручи до уваги вигідне розташування в структурі міста цієї території та загалом сприятливі ринкові умови.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Для цілей аналізу найкращого і найефективнішого використання ділянки в районі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Осокорків-Північних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було зроблене припущення, що існуючі автосалони та супутні магазини, які сьогодні займають площу близько </w:t>
      </w:r>
      <w:smartTag w:uri="urn:schemas-microsoft-com:office:smarttags" w:element="metricconverter">
        <w:smartTagPr>
          <w:attr w:name="ProductID" w:val="8,5668 гектар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8,5668 гектар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 xml:space="preserve"> у фасадній частині вздовж Дніпровської набережної, тут залишаться. Також у північній частині ділянки вздовж Дніпровської набережної продовжиться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багатоквартирного житлового комплексу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RiverStone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(територія близько </w:t>
      </w:r>
      <w:smartTag w:uri="urn:schemas-microsoft-com:office:smarttags" w:element="metricconverter">
        <w:smartTagPr>
          <w:attr w:name="ProductID" w:val="6,3267 гектар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6,3267 гектар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 xml:space="preserve">) та торгівельно-розважального центр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RiverMall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(територія близько </w:t>
      </w:r>
      <w:smartTag w:uri="urn:schemas-microsoft-com:office:smarttags" w:element="metricconverter">
        <w:smartTagPr>
          <w:attr w:name="ProductID" w:val="6,6570 гектар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6,6570 гектар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>).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На основі оцінки ринкової доцільності будівництва тих чи інших об’єктів нерухомості на ділянці в районі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Осокорків-Північних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, було розроблено маркетингову концепцію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цієї території.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Ще раз звертаємо Вашу увагу на те, що подані нижче рекомендації базуються на припущенні, що буде здійснений комплексний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редевелопмент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території ділянки з урахуванням необхідності забезпечити ефективне зонування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забудови території щодо функціональної структури і транспортних потоків.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Загальну маркетингову концепцію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ділянки за функціональними складовими: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1) На думку експертів,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житлової нерухомості на ділянці у складі будівель низької, середньої і високої поверховості повинен зосереджуватися поблизу та безпосередньо вздовж набережної ріки Дніпро.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Упродовж 20 років реалізації проекту в рамках забудови ділянки може бути виведено приблизно 1,12 мільйонів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житла низької, середньої і високої щільності або біля 11 200 квартир. По оцінкам експертів, впродовж наступних 20 років на ринку житлової нерухомості в Києві щорічно будуть введенні, в середньому, приблизно 1 мільйон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житла, в той час як деякі житлові площі будуть виведені із житлового фонду, який в кінці цього періоду може потенційно скласти близько 80 мільйонів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. Таким чином, площа потенційної житлової забудови в рамках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ділянки в районі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Осокорків-Північних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становитиме приблизно 1,4% від загального об’єму ринку житла в українській столиці.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З точки зору класу і цінового позиціонування, вважається, що на ділянці доцільно створити комбінацію різних типів житла для різних соціальних класів населення, що відповідає сучасним загальноєвропейським підходам щодо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нових міських районів. Дешевше житло можна побудувати на початковому етапі проекту, а на пізніших його етапах створити більш ексклюзивне житло вищої цінової категорії, забезпечивши йому вищу ступінь інтимності і кращий доступ до особливо привабливих частин території, зокрема набережної Дніпра. Особливу увагу необхідно приділити зонуванню житлової забудови на ділянці, - в тому числі, з метою забезпечити необхідну інтимність більш ексклюзивному житлу у проекті, при цьому запобігаючи формування гетто у частинах, де розташоване житло нижчої цінової категорії. Житлові будівлі на ділянці можуть також варіюватися за поверховістю і розміром.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Реомендується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зосередити житлову забудову на ділянці на 1-кімнатних (40-50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), 2-кімнатних (60-70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), 3-кімнатних (75-90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) і 4-кімнатних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 xml:space="preserve">(95-130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) квартирах. Вважаємо, що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паркувальний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коефіцієнт у цій частині забудови повинен складати 1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машиномісце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на кожні 75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житлової площі.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Необхідна супутня торгівельна інфраструктура повинна розміщуватися у житловій забудові на ділянці, переважно у форматі комерційних приміщень на перших поверхах житлових будівель. Серед можливих функцій, наприклад, салони краси, відділення комерційних банків, аптеки, центри позашкільної освіти для дітей і дорослих, невеликі дитячі центри і центри раннього розвитку, тощо. Тут також потрібно передбачити озеленені відпочинкові території загального користування і дитячі майданчики.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Соціально-побутова інфраструктура у житловій забудові на ділянці також повинна містити об’єкти, передбачені Державними будівельними нормами, в тому числі дитячі заклади дошкільної освіти і школи.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Відповідно до попередніх розрахунків у кінцевому рахунку в житловій забудові на ділянці може проживати приблизно 33 700 мешканців.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2) На думку експертів, ділова частина забудови ділянки в районі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Осокорків-Північних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у складі ефективних офісних приміщень з торгівельними приміщеннями і закладами харчування на перших поверхах, фітнес центром і приватною клінікою, а також готелем середньої цінової категорії із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конференц-приміщеннями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повинні знаходитися переважно вздовж південної межі ділянки. Таке розташування ділової функції в межах забудови території ділянки є максимально вигідним, оскільки забезпечує пішохідну доступність до станцій метро «Славутич» і «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Осокорки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», а також прекрасну видимість з проспекту Миколи Бажана, що забезпечує проїзд до Міжнародного аеропорту «Бориспіль».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Було підраховано, що впродовж 20-літнього періоду забудови ділянки на ній можуть потенційно бути побудовані офісні приміщення в малоповерхових офісних будівлях загальною орендною площею приблизно 200 000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(GLA). На цьому етапі, зважаючи на історичну динаміку, загальний обсяг ринку офісної нерухомості в українській столиці може потенційно досягнути до 5,5 млн.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. Таким чином, в офісній забудові на ділянці буде розташовано приблизно 4%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загального обсягу сучасних офісних приміщень в українській столиці.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Хоча ділянка в районі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Осокорків-Північних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знаходиться за межами існуючого Центрального ділового району Києва, офісна частина її перспективної забудови буде розташована у радіусі до </w:t>
      </w:r>
      <w:smartTag w:uri="urn:schemas-microsoft-com:office:smarttags" w:element="metricconverter">
        <w:smartTagPr>
          <w:attr w:name="ProductID" w:val="700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700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 xml:space="preserve"> від станції метро і в районі з добрим транспортним сполученням. Зважаючи на теперішні ринкові умови, вимоги орендарів в Києві і необхідність створити привабливий офісний район на ділянці, рекомендується мінімальний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паркувальний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коефіцієнт на рівні показника 1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машиномісце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на 80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чистої орендної офісної площі (NIA) або 100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загальної орендної площі (GLA).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У випадку прийняття відповідного рішення, перспективний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ділянки в районі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Осокорків-Північних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триватиме приблизно 20 років до повного завершення. Тому надзвичайно важливо забезпечити прийняття ефективних зважених рішень вже на ранніх етапах планування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цієї території і його функціонального зонування, щоб забезпечити реалізацію найкращого і найефективнішого використання усієї території.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Зважаючи на стратегічне розташування ділянки в районі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Осокорків-Північних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в урбаністичній структурі Києва, міській владі необхідно забезпечити ефективний містобудівний контроль забудови цієї території.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Комерційна концепція – оцінка потенційної доходної частини від оперування різноманітних об’єктів нерухомості за типами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Очікується, що наступні чисті орендні ставки і ціни будуть досяжні для різних типів і категорій якісних приміщень у перспективній забудові на ділянці в районі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Осокорків-Північних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, при умові її комплексного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редевелопменту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>Офісні приміщення: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Оцінки стосовно орендних ставок на офісні приміщення та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паркомісця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в офісних будівлях, що перспективно будуть побудовані на ділянці в районі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Осокорків-Північних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, відображають середньозважені ринкові значення орендних ставок на основі оцінки їх оптимістичного та песимістичного значень, що можуть бути досяжними впродовж операційного періоду першої фази проекту, але з урахуванням теперішніх умов ринку.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Таб</w:t>
      </w: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лиця</w:t>
      </w:r>
      <w:r w:rsidRPr="00C8397D">
        <w:rPr>
          <w:rFonts w:ascii="Times New Roman" w:hAnsi="Times New Roman"/>
          <w:sz w:val="28"/>
          <w:szCs w:val="28"/>
          <w:lang w:val="uk-UA"/>
        </w:rPr>
        <w:t xml:space="preserve">  - Прогнозовані орендні ставки, які в теперішніх ринкових умовах є досяжними для спекулятивних офісних приміщень, розташованих в рамках ефективного офісного проекту на ділянці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6"/>
        <w:gridCol w:w="2459"/>
        <w:gridCol w:w="2460"/>
        <w:gridCol w:w="2479"/>
      </w:tblGrid>
      <w:tr w:rsidR="00DD6703" w:rsidRPr="00C8397D" w:rsidTr="00BA5963">
        <w:tc>
          <w:tcPr>
            <w:tcW w:w="2463" w:type="dxa"/>
            <w:vMerge w:val="restart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Тип приміщення</w:t>
            </w:r>
          </w:p>
        </w:tc>
        <w:tc>
          <w:tcPr>
            <w:tcW w:w="7391" w:type="dxa"/>
            <w:gridSpan w:val="3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Орендна ставка ***, </w:t>
            </w: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$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1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/ місяць (без урахування ПДВ та експлуатаційних платежів)</w:t>
            </w:r>
          </w:p>
        </w:tc>
      </w:tr>
      <w:tr w:rsidR="00DD6703" w:rsidRPr="00C8397D" w:rsidTr="00BA5963">
        <w:tc>
          <w:tcPr>
            <w:tcW w:w="2463" w:type="dxa"/>
            <w:vMerge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Песимістичний сценарій (50%*)</w:t>
            </w:r>
          </w:p>
        </w:tc>
        <w:tc>
          <w:tcPr>
            <w:tcW w:w="2464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Оптимістичний сценарій (50%*)</w:t>
            </w:r>
          </w:p>
        </w:tc>
        <w:tc>
          <w:tcPr>
            <w:tcW w:w="2464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Середньозважений</w:t>
            </w:r>
          </w:p>
        </w:tc>
      </w:tr>
      <w:tr w:rsidR="00DD6703" w:rsidRPr="00C8397D" w:rsidTr="00BA5963"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Спекулятивні офісні приміщення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22,5</w:t>
            </w:r>
          </w:p>
        </w:tc>
      </w:tr>
      <w:tr w:rsidR="00DD6703" w:rsidRPr="00C8397D" w:rsidTr="00BA5963"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Критий паркінг для офісних приміщень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80</w:t>
            </w:r>
          </w:p>
        </w:tc>
      </w:tr>
    </w:tbl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 В дужках – питома вага, надана різними оцінками орендних ставок.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**Орендні ставки за оцінками експертів, які базуються на поточних ринкових умовах, що склалися на ринку нерухомості Києва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***Значення орендних ставок в доларах США базуються на офіційному обмінному курсі станом на липень 2012 року, за умови відсутності значних коливань у офіційному курсі.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Незалежно від майбутньої загальної динаміки ринку офісної нерухомості в Києві, очікується подальше поступове зростання орендних ставок в офісних будівлях на ділянці під впливом виключно внутрішніх факторів, таких як комплексний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ділянки та досягнення «критичної маси» забудови.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Слід зауважити, що в прогнозах дотримується консервативний підхід, враховуючи поточні кризові явища і не беручи до уваги структурний дефіцит якісних офісних приміщень на ринку офісної нерухомості Києва, а також його визнаний високий потенціал.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>Житло: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Зважаючи на загальну практику, що склалася на ринку житлової нерухомості в Києві, рекомендується здавати житлові будинки в експлуатацію з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квартирами у стані, підготовленому під фінішне оздоблення.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Прогнози доходів від реалізації квартир та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машиномісць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в житлових будинках на ділянці, за умови її комплексного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, зроблені на основі наступних припущень стосовно цін продажу квартир за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та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машиномісць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Таблиця</w:t>
      </w:r>
      <w:r w:rsidRPr="00C8397D">
        <w:rPr>
          <w:rFonts w:ascii="Times New Roman" w:hAnsi="Times New Roman"/>
          <w:sz w:val="28"/>
          <w:szCs w:val="28"/>
          <w:lang w:val="uk-UA"/>
        </w:rPr>
        <w:t xml:space="preserve"> - Прогнозовані ціни на квартири та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паркомісця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, що можуть бути досяжними в житловій забудові на ділянці, при умові її комплексної регенерації та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редевелопменту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6"/>
        <w:gridCol w:w="2459"/>
        <w:gridCol w:w="2460"/>
        <w:gridCol w:w="2479"/>
      </w:tblGrid>
      <w:tr w:rsidR="00DD6703" w:rsidRPr="00C8397D" w:rsidTr="00BA5963">
        <w:tc>
          <w:tcPr>
            <w:tcW w:w="2463" w:type="dxa"/>
            <w:vMerge w:val="restart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Тип приміщення</w:t>
            </w:r>
          </w:p>
        </w:tc>
        <w:tc>
          <w:tcPr>
            <w:tcW w:w="7391" w:type="dxa"/>
            <w:gridSpan w:val="3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Ціна ***, </w:t>
            </w: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$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1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квартир та місця в підземному паркінгу</w:t>
            </w:r>
          </w:p>
        </w:tc>
      </w:tr>
      <w:tr w:rsidR="00DD6703" w:rsidRPr="00C8397D" w:rsidTr="00BA5963">
        <w:tc>
          <w:tcPr>
            <w:tcW w:w="2463" w:type="dxa"/>
            <w:vMerge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Песимістичний сценарій (50%*)</w:t>
            </w:r>
          </w:p>
        </w:tc>
        <w:tc>
          <w:tcPr>
            <w:tcW w:w="2464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Оптимістичний сценарій (50%*)</w:t>
            </w:r>
          </w:p>
        </w:tc>
        <w:tc>
          <w:tcPr>
            <w:tcW w:w="2464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Середньозважений</w:t>
            </w:r>
          </w:p>
        </w:tc>
      </w:tr>
      <w:tr w:rsidR="00DD6703" w:rsidRPr="00C8397D" w:rsidTr="00BA5963"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Квартири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1,800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2,100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1,850</w:t>
            </w:r>
          </w:p>
        </w:tc>
      </w:tr>
      <w:tr w:rsidR="00DD6703" w:rsidRPr="00C8397D" w:rsidTr="00BA5963"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Підземний паркінг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18,000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22,000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20,000</w:t>
            </w:r>
          </w:p>
        </w:tc>
      </w:tr>
    </w:tbl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В дужках – питома вага, надана різним оцінкам цін.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**Ціни за оцінками експертів, які базуються на поточних ринкових умовах, що склалися на ринку нерухомості Києва.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***Значення цін в доларах США базуються на офіційному обмінному курсі станом на липень 2012 року, за умови відсутності значних коливань у офіційному курсі.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Незалежно від майбутньої загальної динаміки ринку житлової нерухомості в Києві, яку неможливо коректно спрогнозувати на наступні 20-25 років, ми очікуємо, що ціни на квартири на ділянці, при умові її комплексної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редевелопменту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, будуть зростати в середньому на 3-5% у рік в результаті подальшого розвитку проекту та формування його стійкого сприйняття як привабливого та комфортного житлового району. З огляду на дане припущення, ціни на квартири в проекті можуть досягати показників $3 080-3 600 за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на пізніших стадіях реалізації проекту.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Слід зауважити, що в прогнозах прослідковується дотримання скоріше консервативного підходу, враховуючи поточні кризові явища на ринку та не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беручи до уваги структурний дефіцит якісного житла на ринку житлової нерухомості в Києві, а також високий визнаний потенціал цього сегменту ринку.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>Готелі: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Прогнози доходів від продажу готельних номерів базуються на припущеннях щодо середньої вартості номера на добу на рівні $87 за номер у перший рік оперування перспективного 3-зіркового готелю на ділянці. Середня вартість номера на добу у готелі постійно зростатиме до показника $102 за номер на п’ятий рік його роботи.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Доходи від оперування 3-зіркового готелю на ділянці скориговані на прогнозований рівень наповненості номерів, що коливається в різних межах від 57% до 68% впродовж перших чотирьох років роботи і стабілізується на рівні 72% для решти операційного періоду.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Як частина загальних доходів від експлуатації готелів були враховані доходи від супутніх внутрішніх бізнес-напрямків – об’єктів громадського харчування, послуг телефонізації та інших додаткових бізнес-напрямків.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Рекомендується, щоб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конференц-приміщення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у цій перспективній забудові на ділянці в районі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Осокорки-Північні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біли розташовані і експлуатуватися у складі готелів.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>Торгівельні приміщення: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Торговельні приміщення у складі офісної частини забудови ділянки будуть здаватися в оренду відповідним торговельним операторам у стані «без оздоблення».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Таблиця 9.3</w:t>
      </w:r>
      <w:r w:rsidRPr="00C8397D">
        <w:rPr>
          <w:rFonts w:ascii="Times New Roman" w:hAnsi="Times New Roman"/>
          <w:sz w:val="28"/>
          <w:szCs w:val="28"/>
          <w:lang w:val="uk-UA"/>
        </w:rPr>
        <w:t>.3 - Прогнозовані орендні ставки на торговельні приміщення на перших поверхах офісних будівель, що можуть бути досяжними на ділянці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6"/>
        <w:gridCol w:w="2459"/>
        <w:gridCol w:w="2460"/>
        <w:gridCol w:w="2479"/>
      </w:tblGrid>
      <w:tr w:rsidR="00DD6703" w:rsidRPr="00C8397D" w:rsidTr="00BA5963">
        <w:tc>
          <w:tcPr>
            <w:tcW w:w="2463" w:type="dxa"/>
            <w:vMerge w:val="restart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Тип приміщення</w:t>
            </w:r>
          </w:p>
        </w:tc>
        <w:tc>
          <w:tcPr>
            <w:tcW w:w="7391" w:type="dxa"/>
            <w:gridSpan w:val="3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Орендна ставка ***, </w:t>
            </w: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$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1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/ місяць (без урахування ПДВ та експлуатаційних платежів)</w:t>
            </w:r>
          </w:p>
        </w:tc>
      </w:tr>
      <w:tr w:rsidR="00DD6703" w:rsidRPr="00C8397D" w:rsidTr="00BA5963">
        <w:tc>
          <w:tcPr>
            <w:tcW w:w="2463" w:type="dxa"/>
            <w:vMerge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Песимістичний сценарій (50%*)</w:t>
            </w:r>
          </w:p>
        </w:tc>
        <w:tc>
          <w:tcPr>
            <w:tcW w:w="2464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Оптимістичний сценарій (50%*)</w:t>
            </w:r>
          </w:p>
        </w:tc>
        <w:tc>
          <w:tcPr>
            <w:tcW w:w="2464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Середньозважений</w:t>
            </w:r>
          </w:p>
        </w:tc>
      </w:tr>
      <w:tr w:rsidR="00DD6703" w:rsidRPr="00C8397D" w:rsidTr="00BA5963"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Супутні торгівельні 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приміщення для задоволення щоденних потреб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20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25,5</w:t>
            </w:r>
          </w:p>
        </w:tc>
      </w:tr>
    </w:tbl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lastRenderedPageBreak/>
        <w:t>Спортивно-оздоровчий клуб / фітнес центр: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Припущення, що спортивні заклади у складі забудови на ділянці будуть здаватися в оренду спеціалізованим операторам (фітнес центри, спортивні клуби) у стані «без оздоблення».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Таб</w:t>
      </w: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лиця 9.3.4</w:t>
      </w:r>
      <w:r w:rsidRPr="00C8397D">
        <w:rPr>
          <w:rFonts w:ascii="Times New Roman" w:hAnsi="Times New Roman"/>
          <w:sz w:val="28"/>
          <w:szCs w:val="28"/>
          <w:lang w:val="uk-UA"/>
        </w:rPr>
        <w:t xml:space="preserve"> - Прогнозовані орендні ставки на приміщення спортивних закладів, що можуть бути досяжними у випадку якісної офісної і житлової забудови на ділянці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6"/>
        <w:gridCol w:w="2459"/>
        <w:gridCol w:w="2460"/>
        <w:gridCol w:w="2479"/>
      </w:tblGrid>
      <w:tr w:rsidR="00DD6703" w:rsidRPr="00C8397D" w:rsidTr="00BA5963">
        <w:tc>
          <w:tcPr>
            <w:tcW w:w="2463" w:type="dxa"/>
            <w:vMerge w:val="restart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Тип приміщення</w:t>
            </w:r>
          </w:p>
        </w:tc>
        <w:tc>
          <w:tcPr>
            <w:tcW w:w="7391" w:type="dxa"/>
            <w:gridSpan w:val="3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Орендна ставка ***, </w:t>
            </w: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$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1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/ місяць (без урахування ПДВ та експлуатаційних платежів)</w:t>
            </w:r>
          </w:p>
        </w:tc>
      </w:tr>
      <w:tr w:rsidR="00DD6703" w:rsidRPr="00C8397D" w:rsidTr="00BA5963">
        <w:tc>
          <w:tcPr>
            <w:tcW w:w="2463" w:type="dxa"/>
            <w:vMerge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Песимістичний сценарій (50%*)</w:t>
            </w:r>
          </w:p>
        </w:tc>
        <w:tc>
          <w:tcPr>
            <w:tcW w:w="2464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Оптимістичний сценарій (50%*)</w:t>
            </w:r>
          </w:p>
        </w:tc>
        <w:tc>
          <w:tcPr>
            <w:tcW w:w="2464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Середньозважений</w:t>
            </w:r>
          </w:p>
        </w:tc>
      </w:tr>
      <w:tr w:rsidR="00DD6703" w:rsidRPr="00C8397D" w:rsidTr="00BA5963"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Приватний спортивний заклад № 1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</w:tr>
      <w:tr w:rsidR="00DD6703" w:rsidRPr="00C8397D" w:rsidTr="00BA5963"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Приватний спортивний заклад № 2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10,5</w:t>
            </w:r>
          </w:p>
        </w:tc>
      </w:tr>
    </w:tbl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 В дужках – питома вага, надана різним оцінкам орендних ставок.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**Орендні ставки за оцінками експертів, які базуються на поточних ринкових умовах, що склалися на ринку нерухомості Києва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***Значення орендних ставок в доларах США базуються на офіційному обмінному курсі станом на липень 2012 року, за умови відсутності значних коливань у офіційному курсі.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8397D">
        <w:rPr>
          <w:rFonts w:ascii="Times New Roman" w:hAnsi="Times New Roman"/>
          <w:b/>
          <w:sz w:val="28"/>
          <w:szCs w:val="28"/>
          <w:lang w:val="uk-UA"/>
        </w:rPr>
        <w:t>Приватні медичні заклади: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Для цілей фінансового аналізу в рамках аналізу найкращого і найефективнішого використання зроблено припущення, що приміщення, відведені під розміщення приватних медичних закладів на території ділянки,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будуть здаватися у стані «без оздоблення» відповідним спеціалізованим операторам медичних установ.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Таблиця 9.3.</w:t>
      </w:r>
      <w:r w:rsidRPr="00C8397D">
        <w:rPr>
          <w:rFonts w:ascii="Times New Roman" w:hAnsi="Times New Roman"/>
          <w:sz w:val="28"/>
          <w:szCs w:val="28"/>
          <w:lang w:val="uk-UA"/>
        </w:rPr>
        <w:t>5 - Прогнозовані орендні ставки, які в теперішніх ринкових умовах є досяжними для спекулятивних приватних медичних закладів, розташованих в рамках ефективної офісно-житлової забудови на ділянці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6"/>
        <w:gridCol w:w="2459"/>
        <w:gridCol w:w="2460"/>
        <w:gridCol w:w="2479"/>
      </w:tblGrid>
      <w:tr w:rsidR="00DD6703" w:rsidRPr="00C8397D" w:rsidTr="00BA5963">
        <w:tc>
          <w:tcPr>
            <w:tcW w:w="2463" w:type="dxa"/>
            <w:vMerge w:val="restart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Тип приміщення</w:t>
            </w:r>
          </w:p>
        </w:tc>
        <w:tc>
          <w:tcPr>
            <w:tcW w:w="7391" w:type="dxa"/>
            <w:gridSpan w:val="3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Орендна ставка ***, </w:t>
            </w:r>
            <w:r w:rsidRPr="00C8397D">
              <w:rPr>
                <w:rFonts w:ascii="Times New Roman" w:hAnsi="Times New Roman"/>
                <w:sz w:val="28"/>
                <w:szCs w:val="28"/>
                <w:lang w:val="ru-RU"/>
              </w:rPr>
              <w:t>$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1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/ місяць (без урахування ПДВ та експлуатаційних платежів)</w:t>
            </w:r>
          </w:p>
        </w:tc>
      </w:tr>
      <w:tr w:rsidR="00DD6703" w:rsidRPr="00C8397D" w:rsidTr="00BA5963">
        <w:tc>
          <w:tcPr>
            <w:tcW w:w="2463" w:type="dxa"/>
            <w:vMerge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Песимістичний сценарій (50%*)</w:t>
            </w:r>
          </w:p>
        </w:tc>
        <w:tc>
          <w:tcPr>
            <w:tcW w:w="2464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Оптимістичний сценарій (50%*)</w:t>
            </w:r>
          </w:p>
        </w:tc>
        <w:tc>
          <w:tcPr>
            <w:tcW w:w="2464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Середньозважений</w:t>
            </w:r>
          </w:p>
        </w:tc>
      </w:tr>
      <w:tr w:rsidR="00DD6703" w:rsidRPr="00C8397D" w:rsidTr="00BA5963">
        <w:tc>
          <w:tcPr>
            <w:tcW w:w="2463" w:type="dxa"/>
            <w:shd w:val="clear" w:color="auto" w:fill="auto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Приватна клініка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DD6703" w:rsidRPr="00C8397D" w:rsidRDefault="00DD6703" w:rsidP="00BA5963">
            <w:pPr>
              <w:tabs>
                <w:tab w:val="left" w:pos="1545"/>
              </w:tabs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</w:tr>
    </w:tbl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 В дужках – питома вага, надана різним оцінкам орендних ставок.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**Орендні ставки за оцінками експертів, які базуються на поточних ринкових умовах, що склалися на ринку нерухомості Києва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***Значення орендних ставок в доларах США базуються на офіційному обмінному курсі станом на липень 2012 року, за умови відсутності значних коливань у офіційному курсі.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Для цілей даного аналізу, припустимо, що об’єкти громадського призначення та соціальної інфраструктури в складі проекту (загальноосвітні заклади, вищі навчальні заклади, музеї тощо) не є об’єктам, що генерують орендний (чи інший) дохід забудовнику / власнику. Проте не варто виключати можливість того, що ці приміщення будуть здані в оренду приватним навчальним чи освітнім установам.</w:t>
      </w:r>
    </w:p>
    <w:p w:rsidR="00DD6703" w:rsidRPr="00C8397D" w:rsidRDefault="00DD6703" w:rsidP="00DD670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u w:val="single"/>
          <w:lang w:val="uk-UA"/>
        </w:rPr>
        <w:t>Конкурентними перевагами</w:t>
      </w:r>
      <w:r w:rsidRPr="00C8397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девелоперського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проекту створення нового ділового району «Київ-Сіті» можуть стати (або є):</w:t>
      </w:r>
    </w:p>
    <w:p w:rsidR="00DD6703" w:rsidRPr="00C8397D" w:rsidRDefault="00DD6703" w:rsidP="00DD6703">
      <w:pPr>
        <w:numPr>
          <w:ilvl w:val="3"/>
          <w:numId w:val="1"/>
        </w:numPr>
        <w:tabs>
          <w:tab w:val="left" w:pos="1080"/>
          <w:tab w:val="left" w:pos="1545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велика ступінь диференціації ринкових сегментів;</w:t>
      </w:r>
    </w:p>
    <w:p w:rsidR="00DD6703" w:rsidRPr="00C8397D" w:rsidRDefault="00DD6703" w:rsidP="00DD6703">
      <w:pPr>
        <w:numPr>
          <w:ilvl w:val="3"/>
          <w:numId w:val="1"/>
        </w:numPr>
        <w:tabs>
          <w:tab w:val="left" w:pos="1080"/>
          <w:tab w:val="left" w:pos="1545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концентрація проекту на швидко зростаючих сегментах нерухомості;</w:t>
      </w:r>
    </w:p>
    <w:p w:rsidR="00DD6703" w:rsidRPr="00C8397D" w:rsidRDefault="00DD6703" w:rsidP="00DD6703">
      <w:pPr>
        <w:numPr>
          <w:ilvl w:val="3"/>
          <w:numId w:val="1"/>
        </w:numPr>
        <w:tabs>
          <w:tab w:val="left" w:pos="1080"/>
          <w:tab w:val="left" w:pos="1545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унікальність проекту у своєму роді на території реалізації;</w:t>
      </w:r>
    </w:p>
    <w:p w:rsidR="00DD6703" w:rsidRPr="00C8397D" w:rsidRDefault="00DD6703" w:rsidP="00DD6703">
      <w:pPr>
        <w:numPr>
          <w:ilvl w:val="3"/>
          <w:numId w:val="1"/>
        </w:numPr>
        <w:tabs>
          <w:tab w:val="left" w:pos="1080"/>
          <w:tab w:val="left" w:pos="1545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високі технологічні та інноваційні переваги проекту;</w:t>
      </w:r>
    </w:p>
    <w:p w:rsidR="00DD6703" w:rsidRPr="00C8397D" w:rsidRDefault="00DD6703" w:rsidP="00DD6703">
      <w:pPr>
        <w:numPr>
          <w:ilvl w:val="3"/>
          <w:numId w:val="1"/>
        </w:numPr>
        <w:tabs>
          <w:tab w:val="left" w:pos="1080"/>
          <w:tab w:val="left" w:pos="1545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широке коло кінцевих споживачів;</w:t>
      </w:r>
    </w:p>
    <w:p w:rsidR="00DD6703" w:rsidRPr="00C8397D" w:rsidRDefault="00DD6703" w:rsidP="00DD6703">
      <w:pPr>
        <w:numPr>
          <w:ilvl w:val="3"/>
          <w:numId w:val="1"/>
        </w:numPr>
        <w:tabs>
          <w:tab w:val="left" w:pos="1080"/>
          <w:tab w:val="left" w:pos="1545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підвищення продуктивності праці населення, яке буде проживати в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 xml:space="preserve">новому діловому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рацоні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«Київ-Сіті»;</w:t>
      </w:r>
    </w:p>
    <w:p w:rsidR="00DD6703" w:rsidRPr="00C8397D" w:rsidRDefault="00DD6703" w:rsidP="00DD6703">
      <w:pPr>
        <w:numPr>
          <w:ilvl w:val="3"/>
          <w:numId w:val="1"/>
        </w:numPr>
        <w:tabs>
          <w:tab w:val="left" w:pos="1080"/>
          <w:tab w:val="left" w:pos="1545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забезпечення вищої якості життя населення  у «Київ-Сіті»</w:t>
      </w:r>
    </w:p>
    <w:p w:rsidR="00DD6703" w:rsidRPr="00C8397D" w:rsidRDefault="00DD6703" w:rsidP="00DD6703">
      <w:pPr>
        <w:numPr>
          <w:ilvl w:val="3"/>
          <w:numId w:val="1"/>
        </w:numPr>
        <w:tabs>
          <w:tab w:val="left" w:pos="1080"/>
          <w:tab w:val="left" w:pos="1545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ефективне районне планування;</w:t>
      </w:r>
    </w:p>
    <w:p w:rsidR="00DD6703" w:rsidRPr="00C8397D" w:rsidRDefault="00DD6703" w:rsidP="00DD6703">
      <w:pPr>
        <w:numPr>
          <w:ilvl w:val="3"/>
          <w:numId w:val="1"/>
        </w:numPr>
        <w:tabs>
          <w:tab w:val="left" w:pos="1080"/>
          <w:tab w:val="left" w:pos="1545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надання інвестиційної площадки для потенційних інвесторів на вигідних умовах;</w:t>
      </w:r>
    </w:p>
    <w:p w:rsidR="00DD6703" w:rsidRPr="00C8397D" w:rsidRDefault="00DD6703" w:rsidP="00DD6703">
      <w:pPr>
        <w:numPr>
          <w:ilvl w:val="3"/>
          <w:numId w:val="1"/>
        </w:numPr>
        <w:tabs>
          <w:tab w:val="left" w:pos="1080"/>
          <w:tab w:val="left" w:pos="1545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гнучка структура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заповненя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об’єктами нерухомості нового ділового району.</w:t>
      </w:r>
    </w:p>
    <w:p w:rsidR="00791E58" w:rsidRDefault="00791E58">
      <w:bookmarkStart w:id="0" w:name="_GoBack"/>
      <w:bookmarkEnd w:id="0"/>
    </w:p>
    <w:sectPr w:rsidR="00791E58" w:rsidSect="000F475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13A5E"/>
    <w:multiLevelType w:val="hybridMultilevel"/>
    <w:tmpl w:val="4A40FB2C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1BC48C60">
      <w:start w:val="5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eastAsia="SimSun" w:hAnsi="Symbol" w:cs="Times New Roman" w:hint="default"/>
      </w:rPr>
    </w:lvl>
    <w:lvl w:ilvl="3" w:tplc="5EDEBDCC">
      <w:start w:val="3"/>
      <w:numFmt w:val="bullet"/>
      <w:lvlText w:val="-"/>
      <w:lvlJc w:val="left"/>
      <w:pPr>
        <w:tabs>
          <w:tab w:val="num" w:pos="3589"/>
        </w:tabs>
        <w:ind w:left="3589" w:hanging="360"/>
      </w:pPr>
      <w:rPr>
        <w:rFonts w:ascii="Times New Roman" w:eastAsia="SimSu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766"/>
    <w:rsid w:val="00681766"/>
    <w:rsid w:val="00791E58"/>
    <w:rsid w:val="00DD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03"/>
    <w:pPr>
      <w:widowControl w:val="0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03"/>
    <w:pPr>
      <w:widowControl w:val="0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2890</Words>
  <Characters>16474</Characters>
  <Application>Microsoft Office Word</Application>
  <DocSecurity>0</DocSecurity>
  <Lines>137</Lines>
  <Paragraphs>38</Paragraphs>
  <ScaleCrop>false</ScaleCrop>
  <Company/>
  <LinksUpToDate>false</LinksUpToDate>
  <CharactersWithSpaces>19326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2013-07-18T08:31:00Z</dcterms:created>
  <dcterms:modified xsi:type="dcterms:W3CDTF">2013-07-18T08:31:00Z</dcterms:modified>
</cp:coreProperties>
</file>