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005" w:rsidRPr="00C8397D" w:rsidRDefault="00192005" w:rsidP="00192005">
      <w:pPr>
        <w:spacing w:after="0" w:line="360" w:lineRule="auto"/>
        <w:ind w:firstLine="709"/>
        <w:jc w:val="both"/>
        <w:rPr>
          <w:rFonts w:ascii="Times New Roman" w:hAnsi="Times New Roman"/>
          <w:b/>
          <w:noProof/>
          <w:color w:val="000000"/>
          <w:spacing w:val="1"/>
          <w:w w:val="94"/>
          <w:position w:val="3"/>
          <w:sz w:val="28"/>
          <w:szCs w:val="28"/>
          <w:lang w:val="uk-UA"/>
        </w:rPr>
      </w:pPr>
      <w:r w:rsidRPr="00C8397D">
        <w:rPr>
          <w:rFonts w:ascii="Times New Roman" w:hAnsi="Times New Roman"/>
          <w:b/>
          <w:noProof/>
          <w:color w:val="000000"/>
          <w:spacing w:val="1"/>
          <w:w w:val="94"/>
          <w:position w:val="3"/>
          <w:sz w:val="28"/>
          <w:szCs w:val="28"/>
          <w:lang w:val="uk-UA"/>
        </w:rPr>
        <w:t>3.2.1. Цільові ринки та можливі інвестори</w:t>
      </w:r>
    </w:p>
    <w:p w:rsidR="00192005" w:rsidRPr="00C8397D" w:rsidRDefault="00192005" w:rsidP="00192005">
      <w:pPr>
        <w:spacing w:after="0" w:line="360" w:lineRule="auto"/>
        <w:ind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 xml:space="preserve">Девелоперський проект створення нового ділового району Київ-Сіті передбачає розвиток інфрастуктури району таким чинном, щоб створити комфортні умови проживання для населення, а саме створити офісні центри і жилову нерухомість на одному масиві, з метою зменшення переїздів населення мікрорайону від місця проживання до місця роботи, крім того, забезпечивши розвиток і інших об’єктів інфраструктури: торгівельно-розважальних центрів, супермакретів, кінотеатрів та лікарень. </w:t>
      </w:r>
      <w:r w:rsidRPr="00C8397D">
        <w:rPr>
          <w:rFonts w:ascii="Times New Roman" w:hAnsi="Times New Roman"/>
          <w:noProof/>
          <w:color w:val="000000"/>
          <w:spacing w:val="1"/>
          <w:w w:val="94"/>
          <w:position w:val="3"/>
          <w:sz w:val="28"/>
          <w:szCs w:val="28"/>
        </w:rPr>
        <w:t>Т</w:t>
      </w:r>
      <w:r w:rsidRPr="00C8397D">
        <w:rPr>
          <w:rFonts w:ascii="Times New Roman" w:hAnsi="Times New Roman"/>
          <w:noProof/>
          <w:color w:val="000000"/>
          <w:spacing w:val="1"/>
          <w:w w:val="94"/>
          <w:position w:val="3"/>
          <w:sz w:val="28"/>
          <w:szCs w:val="28"/>
          <w:lang w:val="uk-UA"/>
        </w:rPr>
        <w:t>ому виникає необхідність огляду ринку нерухомості міста Києва з усіма його сегментами, а саме:</w:t>
      </w:r>
    </w:p>
    <w:p w:rsidR="00192005" w:rsidRPr="00C8397D" w:rsidRDefault="00192005" w:rsidP="00192005">
      <w:pPr>
        <w:numPr>
          <w:ilvl w:val="1"/>
          <w:numId w:val="30"/>
        </w:numPr>
        <w:tabs>
          <w:tab w:val="left" w:pos="900"/>
          <w:tab w:val="left" w:pos="1080"/>
        </w:tabs>
        <w:spacing w:after="0" w:line="360" w:lineRule="auto"/>
        <w:ind w:left="0"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ринком офісної нерухомості,</w:t>
      </w:r>
    </w:p>
    <w:p w:rsidR="00192005" w:rsidRPr="00C8397D" w:rsidRDefault="00192005" w:rsidP="00192005">
      <w:pPr>
        <w:numPr>
          <w:ilvl w:val="1"/>
          <w:numId w:val="30"/>
        </w:numPr>
        <w:tabs>
          <w:tab w:val="left" w:pos="900"/>
          <w:tab w:val="left" w:pos="1080"/>
        </w:tabs>
        <w:spacing w:after="0" w:line="360" w:lineRule="auto"/>
        <w:ind w:left="0"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 xml:space="preserve">ринком готельної нерухомості, </w:t>
      </w:r>
    </w:p>
    <w:p w:rsidR="00192005" w:rsidRPr="00C8397D" w:rsidRDefault="00192005" w:rsidP="00192005">
      <w:pPr>
        <w:numPr>
          <w:ilvl w:val="1"/>
          <w:numId w:val="30"/>
        </w:numPr>
        <w:tabs>
          <w:tab w:val="left" w:pos="900"/>
          <w:tab w:val="left" w:pos="1080"/>
        </w:tabs>
        <w:spacing w:after="0" w:line="360" w:lineRule="auto"/>
        <w:ind w:left="0"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ринком виставкової нерухомості та конференц-залів,</w:t>
      </w:r>
    </w:p>
    <w:p w:rsidR="00192005" w:rsidRPr="00C8397D" w:rsidRDefault="00192005" w:rsidP="00192005">
      <w:pPr>
        <w:numPr>
          <w:ilvl w:val="1"/>
          <w:numId w:val="30"/>
        </w:numPr>
        <w:tabs>
          <w:tab w:val="left" w:pos="900"/>
          <w:tab w:val="left" w:pos="1080"/>
        </w:tabs>
        <w:spacing w:after="0" w:line="360" w:lineRule="auto"/>
        <w:ind w:left="0"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 xml:space="preserve">ринком житлової нерухомості, </w:t>
      </w:r>
    </w:p>
    <w:p w:rsidR="00192005" w:rsidRPr="00C8397D" w:rsidRDefault="00192005" w:rsidP="00192005">
      <w:pPr>
        <w:numPr>
          <w:ilvl w:val="1"/>
          <w:numId w:val="30"/>
        </w:numPr>
        <w:tabs>
          <w:tab w:val="left" w:pos="900"/>
          <w:tab w:val="left" w:pos="1080"/>
        </w:tabs>
        <w:spacing w:after="0" w:line="360" w:lineRule="auto"/>
        <w:ind w:left="0"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ринком торгівельної нерухомості,</w:t>
      </w:r>
    </w:p>
    <w:p w:rsidR="00192005" w:rsidRPr="00C8397D" w:rsidRDefault="00192005" w:rsidP="00192005">
      <w:pPr>
        <w:numPr>
          <w:ilvl w:val="1"/>
          <w:numId w:val="30"/>
        </w:numPr>
        <w:tabs>
          <w:tab w:val="left" w:pos="900"/>
          <w:tab w:val="left" w:pos="1080"/>
        </w:tabs>
        <w:spacing w:after="0" w:line="360" w:lineRule="auto"/>
        <w:ind w:left="0" w:firstLine="709"/>
        <w:jc w:val="both"/>
        <w:rPr>
          <w:rFonts w:ascii="Times New Roman" w:hAnsi="Times New Roman"/>
          <w:noProof/>
          <w:color w:val="000000"/>
          <w:spacing w:val="1"/>
          <w:w w:val="94"/>
          <w:position w:val="3"/>
          <w:sz w:val="28"/>
          <w:szCs w:val="28"/>
          <w:lang w:val="uk-UA"/>
        </w:rPr>
      </w:pPr>
      <w:r w:rsidRPr="00C8397D">
        <w:rPr>
          <w:rFonts w:ascii="Times New Roman" w:hAnsi="Times New Roman"/>
          <w:noProof/>
          <w:color w:val="000000"/>
          <w:spacing w:val="1"/>
          <w:w w:val="94"/>
          <w:position w:val="3"/>
          <w:sz w:val="28"/>
          <w:szCs w:val="28"/>
          <w:lang w:val="uk-UA"/>
        </w:rPr>
        <w:t>ринком логістичної та складської нерухомості.</w:t>
      </w:r>
    </w:p>
    <w:p w:rsidR="00192005" w:rsidRPr="00C8397D" w:rsidRDefault="00192005" w:rsidP="00192005">
      <w:pPr>
        <w:spacing w:after="0" w:line="360" w:lineRule="auto"/>
        <w:ind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Розгляномо окремо кожен із сегментів ринку нерухомості м. Києва.</w:t>
      </w:r>
    </w:p>
    <w:p w:rsidR="00192005" w:rsidRPr="00C8397D" w:rsidRDefault="00192005" w:rsidP="00192005">
      <w:pPr>
        <w:spacing w:after="0" w:line="360" w:lineRule="auto"/>
        <w:ind w:firstLine="709"/>
        <w:jc w:val="both"/>
        <w:rPr>
          <w:rFonts w:ascii="Times New Roman" w:hAnsi="Times New Roman"/>
          <w:b/>
          <w:noProof/>
          <w:color w:val="000000"/>
          <w:spacing w:val="1"/>
          <w:w w:val="94"/>
          <w:position w:val="3"/>
          <w:sz w:val="28"/>
          <w:szCs w:val="28"/>
          <w:lang w:val="ru-RU"/>
        </w:rPr>
      </w:pPr>
      <w:r w:rsidRPr="00C8397D">
        <w:rPr>
          <w:rFonts w:ascii="Times New Roman" w:hAnsi="Times New Roman"/>
          <w:b/>
          <w:noProof/>
          <w:color w:val="000000"/>
          <w:spacing w:val="1"/>
          <w:w w:val="94"/>
          <w:position w:val="3"/>
          <w:sz w:val="28"/>
          <w:szCs w:val="28"/>
          <w:lang w:val="ru-RU"/>
        </w:rPr>
        <w:t>3.2.1.1 Ринок офісної нерухомості м. Києва</w:t>
      </w:r>
    </w:p>
    <w:p w:rsidR="00192005" w:rsidRPr="00C8397D" w:rsidRDefault="00192005" w:rsidP="00192005">
      <w:pPr>
        <w:spacing w:after="0" w:line="360" w:lineRule="auto"/>
        <w:ind w:right="-81"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Нижче викладені ключові фактори попиту, тенденції і прогнози щодо попиту, тенденції і прогнози щодо факторів пропозиції, а також показники поведінки сектору офісної нерухомості в м. Києві.</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Будучи столицею Україна, Київ являється адміністративним центром країни як для комерційних, так і для державних операцій. Відповідно до загальної економічної структури м. Києва, сфера послуг сильно домінує в структурі міської зайнятості (73% в 2009 році). Відповідно до Стратегії розвитку міста Києва до 2025 року, структура зайнятості в українській столиці і в подальшому буде зосереджена на сфері послуг, в той час як в промисловому секторі робочі місця планується частково переорієнтувати в напрямки з високою доданою вартістю. Це створює основи для стійкого довгострокового розвитку сектора офісної нерухомості в місті.</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 xml:space="preserve">Ринок офісної нерухомості м. Києва розвивався починаючи з 1993 року. </w:t>
      </w:r>
      <w:r w:rsidRPr="00C8397D">
        <w:rPr>
          <w:rFonts w:ascii="Times New Roman" w:hAnsi="Times New Roman"/>
          <w:noProof/>
          <w:color w:val="000000"/>
          <w:spacing w:val="1"/>
          <w:w w:val="94"/>
          <w:position w:val="3"/>
          <w:sz w:val="28"/>
          <w:szCs w:val="28"/>
          <w:lang w:val="ru-RU"/>
        </w:rPr>
        <w:lastRenderedPageBreak/>
        <w:t>У період з 2000 по вересень 2008 року ринок офісної нерухомості Києва показував щорічне зміцнення попиту орендарів, з особливим підйомом в секторі, зареєстрованим в період з 2005 року по третій кварталі 2008 року, що відобразилося на рівні вакантності протягом цього періоду в межах 1,2- 4,2% і на рівні ставок оренди в розмірі $ 70-85 за кв. м на місяць.</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Офісний сектор в українській столиці сильно постраждав внаслідок фінансової кризи, що почалася в четвертому кварталі 2008 року. Розвиток багатьох масштабних проектів офісної нерухомості, запланованих в українській столиці до початку фінансової кризи, був призупинений через відсутність фінансування та економічний спад. Багато компаній зазнали зниження прибутків і, все частіше намагалися звести до мінімуму експлуатаційні витрати і оптимізувати бізнес-процеси, в той час як скорочення штату працівників були широко поширеним. Деякі компанії, які раніше займали офіси значної площі, а також такі, що були розподілені серед кількох будівель, тепер прагнуть об'єднати всі свої підрозділи в одній будівлі з метою підвищення ефективності роботи персоналу. В кінці 2009 року первинна вакантність на ринку досягла 17,6%, включаючи тільки первинний об’єм площ, що пропонувався безпосередньо від власників, хоча і пропозиції суборенди стали досить поширеним явищем. В період між третім кварталом 2008 року і до кінця 2009 року, ставки оренди на офіси в Києві впали більш ніж на 50% за рахунок девальвації національної валюти та низького попиту орендарів, що були викликані економічним спадом в Україні і в світі.</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Україна до цих пір знаходиться у фазі відновлення після світової фінансової кризи 2008-2009 рр. Тим не менше, ринкові показники в секторі офісної нерухомості Києва почали поліпшуватися в 2010 році, і ця тенденція продовжувалася протягом 2011 року та в першому кварталі 2012 року.</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2"/>
          <w:w w:val="94"/>
          <w:position w:val="3"/>
          <w:sz w:val="28"/>
          <w:szCs w:val="28"/>
          <w:lang w:val="uk-UA"/>
        </w:rPr>
      </w:pPr>
      <w:r w:rsidRPr="00C8397D">
        <w:rPr>
          <w:rFonts w:ascii="Times New Roman" w:hAnsi="Times New Roman"/>
          <w:noProof/>
          <w:color w:val="000000"/>
          <w:spacing w:val="1"/>
          <w:w w:val="94"/>
          <w:position w:val="3"/>
          <w:sz w:val="28"/>
          <w:szCs w:val="28"/>
          <w:lang w:val="ru-RU"/>
        </w:rPr>
        <w:t xml:space="preserve">Незважаючи на те, що орендарі офісної нерухомості залишаються консервативними у своїх прогнозах зростання на майбутні 5 років, більшість з них планують помірне зростання бізнесу і, як наслідок розширення офісних площ, в той же час залишаючись дуже вимогливими щодо якості, ефективності і </w:t>
      </w:r>
      <w:r w:rsidRPr="00C8397D">
        <w:rPr>
          <w:rFonts w:ascii="Times New Roman" w:hAnsi="Times New Roman"/>
          <w:noProof/>
          <w:color w:val="000000"/>
          <w:spacing w:val="1"/>
          <w:w w:val="94"/>
          <w:position w:val="3"/>
          <w:sz w:val="28"/>
          <w:szCs w:val="28"/>
          <w:lang w:val="ru-RU"/>
        </w:rPr>
        <w:lastRenderedPageBreak/>
        <w:t xml:space="preserve">вартості офісних приміщень. Попит на офіси в Києві як і раніше сильно обумовлений компаніями, що працюють в області інформаційних і комунікаційних технологій, виробництва та розподілу (переважно виробництво товарів масового вжитку і фармацевтичне виробництво), в фінансовому секторі і в сільському господарстві. Попередня здача в оренду була практично відсутня в секторі у зв'язку з наявною можливістю зняти площі в існуючих проектах і відсутністю довіри в цілому. Як відомо, значна </w:t>
      </w:r>
      <w:r w:rsidRPr="00C8397D">
        <w:rPr>
          <w:rFonts w:ascii="Times New Roman" w:hAnsi="Times New Roman"/>
          <w:noProof/>
          <w:color w:val="000000"/>
          <w:spacing w:val="-2"/>
          <w:w w:val="94"/>
          <w:position w:val="3"/>
          <w:sz w:val="28"/>
          <w:szCs w:val="28"/>
          <w:lang w:val="uk-UA"/>
        </w:rPr>
        <w:t>частина орендарів в Києві, зокрема, малих</w:t>
      </w:r>
      <w:r w:rsidRPr="00C8397D">
        <w:rPr>
          <w:rFonts w:ascii="Times New Roman" w:hAnsi="Times New Roman"/>
          <w:noProof/>
          <w:color w:val="000000"/>
          <w:spacing w:val="-2"/>
          <w:w w:val="94"/>
          <w:position w:val="3"/>
          <w:sz w:val="28"/>
          <w:szCs w:val="28"/>
          <w:lang w:val="uk-UA"/>
        </w:rPr>
        <w:tab/>
        <w:t>і середніх підприємств, до сих пір працює в переформатованих житлових приміщеннях та колишніх промислових будівлях, і ця категорія приміщень не охоплюється аналізом.</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Стандарт на використання офісної площі на одне робоче місце в компаніях, що працюють в професійних офісних об’єктах в Києві, як правило, становить близько </w:t>
      </w:r>
      <w:smartTag w:uri="urn:schemas-microsoft-com:office:smarttags" w:element="metricconverter">
        <w:smartTagPr>
          <w:attr w:name="ProductID" w:val="12 кв. м"/>
        </w:smartTagPr>
        <w:r w:rsidRPr="00C8397D">
          <w:rPr>
            <w:rFonts w:ascii="Times New Roman" w:hAnsi="Times New Roman"/>
            <w:noProof/>
            <w:color w:val="000000"/>
            <w:spacing w:val="3"/>
            <w:sz w:val="28"/>
            <w:szCs w:val="28"/>
            <w:lang w:val="ru-RU"/>
          </w:rPr>
          <w:t>12 кв. м</w:t>
        </w:r>
      </w:smartTag>
      <w:r w:rsidRPr="00C8397D">
        <w:rPr>
          <w:rFonts w:ascii="Times New Roman" w:hAnsi="Times New Roman"/>
          <w:noProof/>
          <w:color w:val="000000"/>
          <w:spacing w:val="3"/>
          <w:sz w:val="28"/>
          <w:szCs w:val="28"/>
          <w:lang w:val="ru-RU"/>
        </w:rPr>
        <w:t xml:space="preserve"> на одне робоче місце.</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У Києві ринок професійної офісної нерухомості в основному зосереджений в центральному діловому районі і в менш центральних районах правого берега Дніпра, в той час як лівий берег, незважаючи на добре розвинену мережу громадського транспорту і наявність значних трудових ресурсів, є переважно житловим - з більш ніж 36% від загальної чисельності населення міста, з яких лише 19,7% працюють на лівому березі.</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В нинішніх умовах стійкого попиту та економічної невизначеності, протягом 2012 - 2013 років в Києві планується до вводу в експлуатацію значний об’єм нової пропозиції офісних площ. Тим не менш, прогнозується, що в короткостроковій перспективі загальний рівень вакантності збільшиться в основному в офісах, розташованих за межами центрального ділового району.</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Враховуючи об’єм нової пропозиції в секторі офісної нерухомості в Києві, середня ставка оренди може знизитись в кінці 2012 і в 2013 році. Динаміка орендних ставок на офіси в Києві, в середньостроковій перспективі буде дуже чутливою до загальної макроекономічної ситуації в </w:t>
      </w:r>
      <w:r w:rsidRPr="00C8397D">
        <w:rPr>
          <w:rFonts w:ascii="Times New Roman" w:hAnsi="Times New Roman"/>
          <w:noProof/>
          <w:color w:val="000000"/>
          <w:spacing w:val="3"/>
          <w:sz w:val="28"/>
          <w:szCs w:val="28"/>
          <w:lang w:val="ru-RU"/>
        </w:rPr>
        <w:lastRenderedPageBreak/>
        <w:t>Україні і в світі, а також до цінової стратегії крупних бізнес-центрів, таких як «Гулівер», 101 Tower і «Торонто-Київ», протягом 2012 року. Завищення ставок в цих проектах може призвести до подальшого тиску в бік підвищення ціни оренди, в той час як більш конкурентна цінова стратегія, швидше за все, призведе до пом'якшення найвищих досяжних ставок оренди на офіси.</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За інших рівних умов або за умови покращення загальної ситуації в країні та світі, очікується, що в 2012 – 2017 рр. ринок офісної нерухомості в Києві покаже помірно позитивну динаміку з щорічним підвищенням орендних ставок на якісні офісні приміщення на 1 - 3% протягом наступних 5 років.</w:t>
      </w:r>
    </w:p>
    <w:p w:rsidR="00192005" w:rsidRPr="00C8397D" w:rsidRDefault="00192005" w:rsidP="00192005">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Очікується, що ринок офісної нерухомості в Києві залишиться нестабільним, а також структурно ненасиченим у відношенні загального обсягу офісних площ, різноманітності форматів і якості приміщень, доступних для оренди в порівнянні з ринками офісної нерухомості в столицях інших країн Центральної та Східної Європи. Незважаючи на існуючий попит з боку орендарів і докризові наміри деяких девелоперів, в даний час в Києві немає справжніх бізнес-парків з великими площами поверху, критичною масою обслуговуючих об'єктів та об’єктів громадської сфери.</w:t>
      </w:r>
    </w:p>
    <w:p w:rsidR="00192005" w:rsidRPr="00C8397D" w:rsidRDefault="00192005" w:rsidP="00192005">
      <w:pPr>
        <w:spacing w:after="0" w:line="360" w:lineRule="auto"/>
        <w:ind w:firstLine="709"/>
        <w:jc w:val="both"/>
        <w:rPr>
          <w:rFonts w:ascii="Times New Roman" w:hAnsi="Times New Roman"/>
          <w:i/>
          <w:noProof/>
          <w:color w:val="000000"/>
          <w:spacing w:val="3"/>
          <w:sz w:val="28"/>
          <w:szCs w:val="28"/>
          <w:lang w:val="ru-RU"/>
        </w:rPr>
      </w:pPr>
      <w:r w:rsidRPr="00C8397D">
        <w:rPr>
          <w:rFonts w:ascii="Times New Roman" w:hAnsi="Times New Roman"/>
          <w:i/>
          <w:noProof/>
          <w:color w:val="000000"/>
          <w:spacing w:val="3"/>
          <w:sz w:val="28"/>
          <w:szCs w:val="28"/>
          <w:lang w:val="ru-RU"/>
        </w:rPr>
        <w:t>Ретроспективний огляд ринку офісної нерухомості м. Києва</w:t>
      </w:r>
    </w:p>
    <w:p w:rsidR="00192005" w:rsidRPr="00C8397D" w:rsidRDefault="00192005" w:rsidP="00192005">
      <w:pPr>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highlight w:val="yellow"/>
          <w:lang w:val="ru-RU"/>
        </w:rPr>
        <w:t>Таблиця 3.</w:t>
      </w:r>
      <w:r w:rsidRPr="00C8397D">
        <w:rPr>
          <w:rFonts w:ascii="Times New Roman" w:hAnsi="Times New Roman"/>
          <w:noProof/>
          <w:color w:val="000000"/>
          <w:spacing w:val="3"/>
          <w:sz w:val="28"/>
          <w:szCs w:val="28"/>
          <w:lang w:val="ru-RU"/>
        </w:rPr>
        <w:t xml:space="preserve"> - Основні показники ринку офісної нерухомості в Києві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1056"/>
        <w:gridCol w:w="1056"/>
        <w:gridCol w:w="1196"/>
        <w:gridCol w:w="1176"/>
        <w:gridCol w:w="1196"/>
        <w:gridCol w:w="1196"/>
      </w:tblGrid>
      <w:tr w:rsidR="00192005" w:rsidRPr="00C8397D" w:rsidTr="00BA5963">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Показник</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2011</w:t>
            </w:r>
          </w:p>
        </w:tc>
        <w:tc>
          <w:tcPr>
            <w:tcW w:w="0" w:type="auto"/>
          </w:tcPr>
          <w:p w:rsidR="00192005" w:rsidRPr="00C8397D" w:rsidRDefault="00192005" w:rsidP="00BA5963">
            <w:pPr>
              <w:widowControl/>
              <w:spacing w:after="0" w:line="360" w:lineRule="auto"/>
              <w:jc w:val="both"/>
              <w:rPr>
                <w:rFonts w:ascii="Times New Roman" w:hAnsi="Times New Roman"/>
                <w:sz w:val="28"/>
                <w:szCs w:val="28"/>
              </w:rPr>
            </w:pPr>
            <w:r w:rsidRPr="00C8397D">
              <w:rPr>
                <w:rFonts w:ascii="Times New Roman" w:hAnsi="Times New Roman"/>
                <w:sz w:val="28"/>
                <w:szCs w:val="28"/>
              </w:rPr>
              <w:t>Q1 2012</w:t>
            </w:r>
          </w:p>
        </w:tc>
      </w:tr>
      <w:tr w:rsidR="00192005" w:rsidRPr="00C8397D" w:rsidTr="00BA5963">
        <w:tc>
          <w:tcPr>
            <w:tcW w:w="0" w:type="auto"/>
          </w:tcPr>
          <w:p w:rsidR="00192005" w:rsidRPr="00C8397D" w:rsidRDefault="00192005" w:rsidP="00BA5963">
            <w:pPr>
              <w:widowControl/>
              <w:spacing w:after="0" w:line="360" w:lineRule="auto"/>
              <w:jc w:val="both"/>
              <w:rPr>
                <w:rFonts w:ascii="Times New Roman" w:hAnsi="Times New Roman"/>
                <w:sz w:val="28"/>
                <w:szCs w:val="28"/>
                <w:lang w:val="uk-UA"/>
              </w:rPr>
            </w:pPr>
            <w:r w:rsidRPr="00C8397D">
              <w:rPr>
                <w:rFonts w:ascii="Times New Roman" w:hAnsi="Times New Roman"/>
                <w:sz w:val="28"/>
                <w:szCs w:val="28"/>
              </w:rPr>
              <w:t>Об’єм приміщень (кв.м)</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741400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916510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1040370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1118695</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1276635</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1276635</w:t>
            </w:r>
          </w:p>
        </w:tc>
      </w:tr>
      <w:tr w:rsidR="00192005" w:rsidRPr="00C8397D" w:rsidTr="00BA5963">
        <w:tc>
          <w:tcPr>
            <w:tcW w:w="0" w:type="auto"/>
          </w:tcPr>
          <w:p w:rsidR="00192005" w:rsidRPr="00C8397D" w:rsidRDefault="00192005" w:rsidP="00BA5963">
            <w:pPr>
              <w:widowControl/>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Нова пропозиція (кв.м)</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180900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175110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123860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78325</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157940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w:t>
            </w:r>
          </w:p>
        </w:tc>
      </w:tr>
      <w:tr w:rsidR="00192005" w:rsidRPr="00C8397D" w:rsidTr="00BA5963">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Об’єм </w:t>
            </w:r>
            <w:r w:rsidRPr="00C8397D">
              <w:rPr>
                <w:rFonts w:ascii="Times New Roman" w:hAnsi="Times New Roman"/>
                <w:sz w:val="28"/>
                <w:szCs w:val="28"/>
                <w:lang w:val="uk-UA"/>
              </w:rPr>
              <w:t xml:space="preserve"> зданих в оренду </w:t>
            </w:r>
            <w:r w:rsidRPr="00C8397D">
              <w:rPr>
                <w:rFonts w:ascii="Times New Roman" w:hAnsi="Times New Roman"/>
                <w:sz w:val="28"/>
                <w:szCs w:val="28"/>
                <w:lang w:val="ru-RU"/>
              </w:rPr>
              <w:t xml:space="preserve">приміщень </w:t>
            </w:r>
            <w:r w:rsidRPr="00C8397D">
              <w:rPr>
                <w:rFonts w:ascii="Times New Roman" w:hAnsi="Times New Roman"/>
                <w:sz w:val="28"/>
                <w:szCs w:val="28"/>
                <w:lang w:val="ru-RU"/>
              </w:rPr>
              <w:lastRenderedPageBreak/>
              <w:t>(кв.м)</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200000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106000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165000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153150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10500</w:t>
            </w:r>
          </w:p>
        </w:tc>
      </w:tr>
      <w:tr w:rsidR="00192005" w:rsidRPr="00C8397D" w:rsidTr="00BA5963">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Рівень вакантності (%)</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17,6</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15,8</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15,2</w:t>
            </w:r>
          </w:p>
        </w:tc>
      </w:tr>
      <w:tr w:rsidR="00192005" w:rsidRPr="00C8397D" w:rsidTr="00BA5963">
        <w:tc>
          <w:tcPr>
            <w:tcW w:w="0" w:type="auto"/>
          </w:tcPr>
          <w:p w:rsidR="00192005" w:rsidRPr="00C8397D" w:rsidRDefault="00192005" w:rsidP="00BA5963">
            <w:pPr>
              <w:widowControl/>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Найвищі орендні ставки (USD/кВ.</w:t>
            </w:r>
            <w:r w:rsidRPr="00C8397D">
              <w:rPr>
                <w:rFonts w:ascii="Times New Roman" w:hAnsi="Times New Roman"/>
                <w:sz w:val="28"/>
                <w:szCs w:val="28"/>
                <w:lang w:val="uk-UA"/>
              </w:rPr>
              <w:t>м/місяць)</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50-70</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70-85</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25-35</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30-38</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35-44</w:t>
            </w:r>
          </w:p>
        </w:tc>
        <w:tc>
          <w:tcPr>
            <w:tcW w:w="0" w:type="auto"/>
          </w:tcPr>
          <w:p w:rsidR="00192005" w:rsidRPr="00C8397D" w:rsidRDefault="00192005"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38-45</w:t>
            </w:r>
          </w:p>
        </w:tc>
      </w:tr>
    </w:tbl>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Примітка: Всі показники вказані на кінець періоду, зважаючи на те, що ринок є таким, що розвивається, та підлягають наступним уточненням. </w:t>
      </w:r>
    </w:p>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Об’єм зданих в оренду приміщень і рівень вакантності не враховують суборенду.</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891280" cy="246126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27089" t="45018" r="45911" b="24721"/>
                    <a:stretch>
                      <a:fillRect/>
                    </a:stretch>
                  </pic:blipFill>
                  <pic:spPr bwMode="auto">
                    <a:xfrm>
                      <a:off x="0" y="0"/>
                      <a:ext cx="3891280" cy="2461260"/>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highlight w:val="yellow"/>
          <w:lang w:val="ru-RU"/>
        </w:rPr>
        <w:t>Графік 4.3.1.1</w:t>
      </w:r>
      <w:r w:rsidRPr="00C8397D">
        <w:rPr>
          <w:rFonts w:ascii="Times New Roman" w:hAnsi="Times New Roman"/>
          <w:noProof/>
          <w:color w:val="000000"/>
          <w:sz w:val="28"/>
          <w:szCs w:val="28"/>
          <w:lang w:val="ru-RU"/>
        </w:rPr>
        <w:t xml:space="preserve"> - Основні показники ринку офісної нерухомості в Києві</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Після здобуття незалежності в 1991 році, багатьма вважалось, що Україна пропонує найбільший потенціал серед нових незалежних держав Центральної та Східної Європи. На жаль, вона не змогла реалізувати той величезний потенціал, який вона, безсумнівно, представляє.</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У період з 1991 по 1996 рік, найбільша активність в оренді офісів була обмежена колишніми радянськими адміністративними будівлями та відремонтованими житловими приміщеннями. Незважаючи на низьку якість приміщень, через гостру нестачу пропозиції, орендні ставки на приміщення, що не забезпечували нічого кращого, ніж дуже посередній робочий простір, могли досягати рівня більше 40 доларів США за кв. м на місяць.</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1993 році Спільним українсько-австрійським підприємством </w:t>
      </w:r>
      <w:r w:rsidRPr="00C8397D">
        <w:rPr>
          <w:rFonts w:ascii="Times New Roman" w:hAnsi="Times New Roman"/>
          <w:noProof/>
          <w:color w:val="000000"/>
          <w:spacing w:val="2"/>
          <w:sz w:val="28"/>
          <w:szCs w:val="28"/>
          <w:lang w:val="ru-RU"/>
        </w:rPr>
        <w:lastRenderedPageBreak/>
        <w:t>«Макулан» була введена в експлуатацію перша офісна будівля «західного типу». «Пилоподібна» будівля «Міжнародного готелю та офісного центру» залишається привабливим і популярним об’єктом з офісними і житловими приміщеннями прийнятної якості.</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Слідуючи періоду гострого браку пропозиції офісної нерухомості, збільшення спекулятивної пропозиції сучасних офісних площ відбулося аж 1996 року. Тоді були введені в експлуатацію такі бізнес-центри, як «Київ-Донбас», «Горизонт Офіс Тауерс», і кілька будівель в центрі міста, побудовані голландським інвестором Gooioord B.V.</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До середини 1998 року в Києві спостерігалося зростання будівництва офісів, а також поширеною була попередня здача в оренду по ставкам 50 - 60 доларів США за кв. м на місяць. Наслідки економічної кризи в Росії в 1998 році не були настільки глибокими, як в Москві, що пов'язано в основному з докризовою ситуацією зі значним браком приміщень в Києві. Економічний крах в серпні 1998 року супроводжувався падінням орендних ставок протягом наступних 24 місяців до рівня близько 25 доларів США за кв. м на місяць для найкращих офісних площ. Так як багато компаній вже уклали договір, то після того як були доведені до кінця будівництва, розпочаті до серпня 1998 року, на ринку офісної нерухомості Києва став очевидним помітний надлишок площ.</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період з 2000 до кінця 2002 року об’єм зданих в оренду офісних приміщень в Києві залишався відносно стабільним в межах від </w:t>
      </w:r>
      <w:smartTag w:uri="urn:schemas-microsoft-com:office:smarttags" w:element="metricconverter">
        <w:smartTagPr>
          <w:attr w:name="ProductID" w:val="18 000 кв. м"/>
        </w:smartTagPr>
        <w:r w:rsidRPr="00C8397D">
          <w:rPr>
            <w:rFonts w:ascii="Times New Roman" w:hAnsi="Times New Roman"/>
            <w:noProof/>
            <w:color w:val="000000"/>
            <w:spacing w:val="2"/>
            <w:sz w:val="28"/>
            <w:szCs w:val="28"/>
            <w:lang w:val="ru-RU"/>
          </w:rPr>
          <w:t>18 000 кв. м</w:t>
        </w:r>
      </w:smartTag>
      <w:r w:rsidRPr="00C8397D">
        <w:rPr>
          <w:rFonts w:ascii="Times New Roman" w:hAnsi="Times New Roman"/>
          <w:noProof/>
          <w:color w:val="000000"/>
          <w:spacing w:val="2"/>
          <w:sz w:val="28"/>
          <w:szCs w:val="28"/>
          <w:lang w:val="ru-RU"/>
        </w:rPr>
        <w:t xml:space="preserve"> до </w:t>
      </w:r>
      <w:smartTag w:uri="urn:schemas-microsoft-com:office:smarttags" w:element="metricconverter">
        <w:smartTagPr>
          <w:attr w:name="ProductID" w:val="22 500 кв. м"/>
        </w:smartTagPr>
        <w:r w:rsidRPr="00C8397D">
          <w:rPr>
            <w:rFonts w:ascii="Times New Roman" w:hAnsi="Times New Roman"/>
            <w:noProof/>
            <w:color w:val="000000"/>
            <w:spacing w:val="2"/>
            <w:sz w:val="28"/>
            <w:szCs w:val="28"/>
            <w:lang w:val="ru-RU"/>
          </w:rPr>
          <w:t>22 500 кв. м</w:t>
        </w:r>
      </w:smartTag>
      <w:r w:rsidRPr="00C8397D">
        <w:rPr>
          <w:rFonts w:ascii="Times New Roman" w:hAnsi="Times New Roman"/>
          <w:noProof/>
          <w:color w:val="000000"/>
          <w:spacing w:val="2"/>
          <w:sz w:val="28"/>
          <w:szCs w:val="28"/>
          <w:lang w:val="ru-RU"/>
        </w:rPr>
        <w:t xml:space="preserve"> в рік. Цей попит поступово поглинув надлишок на ринку, так що на 2003 рік спостерігався дефіцит деяких видів офісних приміщень в центрі міста, і цей наступний дефіцит призвів до перших ознак підйому орендних ставок. Це в свою чергу призвело до зростання інтересу до будівництва офісів в місті - більш ніж </w:t>
      </w:r>
      <w:smartTag w:uri="urn:schemas-microsoft-com:office:smarttags" w:element="metricconverter">
        <w:smartTagPr>
          <w:attr w:name="ProductID" w:val="88 000 кв. м"/>
        </w:smartTagPr>
        <w:r w:rsidRPr="00C8397D">
          <w:rPr>
            <w:rFonts w:ascii="Times New Roman" w:hAnsi="Times New Roman"/>
            <w:noProof/>
            <w:color w:val="000000"/>
            <w:spacing w:val="2"/>
            <w:sz w:val="28"/>
            <w:szCs w:val="28"/>
            <w:lang w:val="ru-RU"/>
          </w:rPr>
          <w:t>88 000 кв. м</w:t>
        </w:r>
      </w:smartTag>
      <w:r w:rsidRPr="00C8397D">
        <w:rPr>
          <w:rFonts w:ascii="Times New Roman" w:hAnsi="Times New Roman"/>
          <w:noProof/>
          <w:color w:val="000000"/>
          <w:spacing w:val="2"/>
          <w:sz w:val="28"/>
          <w:szCs w:val="28"/>
          <w:lang w:val="ru-RU"/>
        </w:rPr>
        <w:t xml:space="preserve"> (GLA) приміщень було введено в експлуатацію в 2003 році, що також супроводжувалося різким збільшенням об’єму площ, зданих в оренду, до більше 60 000 квадратних метрів на рік.</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lastRenderedPageBreak/>
        <w:t xml:space="preserve">Хоча активність в будівництві зростала з року в рік і, незважаючи на попередні плани збудувати близько </w:t>
      </w:r>
      <w:smartTag w:uri="urn:schemas-microsoft-com:office:smarttags" w:element="metricconverter">
        <w:smartTagPr>
          <w:attr w:name="ProductID" w:val="160 000 кв. м"/>
        </w:smartTagPr>
        <w:r w:rsidRPr="00C8397D">
          <w:rPr>
            <w:rFonts w:ascii="Times New Roman" w:hAnsi="Times New Roman"/>
            <w:noProof/>
            <w:color w:val="000000"/>
            <w:spacing w:val="2"/>
            <w:sz w:val="28"/>
            <w:szCs w:val="28"/>
            <w:lang w:val="ru-RU"/>
          </w:rPr>
          <w:t xml:space="preserve">160 </w:t>
        </w:r>
        <w:smartTag w:uri="urn:schemas-microsoft-com:office:smarttags" w:element="metricconverter">
          <w:smartTagPr>
            <w:attr w:name="ProductID" w:val="000 кв. м"/>
          </w:smartTagPr>
          <w:r w:rsidRPr="00C8397D">
            <w:rPr>
              <w:rFonts w:ascii="Times New Roman" w:hAnsi="Times New Roman"/>
              <w:noProof/>
              <w:color w:val="000000"/>
              <w:spacing w:val="2"/>
              <w:sz w:val="28"/>
              <w:szCs w:val="28"/>
              <w:lang w:val="ru-RU"/>
            </w:rPr>
            <w:t>000 кв. м</w:t>
          </w:r>
        </w:smartTag>
      </w:smartTag>
      <w:r w:rsidRPr="00C8397D">
        <w:rPr>
          <w:rFonts w:ascii="Times New Roman" w:hAnsi="Times New Roman"/>
          <w:noProof/>
          <w:color w:val="000000"/>
          <w:spacing w:val="2"/>
          <w:sz w:val="28"/>
          <w:szCs w:val="28"/>
          <w:lang w:val="ru-RU"/>
        </w:rPr>
        <w:t xml:space="preserve"> (GLA) офісних площ протягом року, у 2004 році загальний об’єм нових офісних приміщень, введених в експлуатацію в Києві, не перевищує </w:t>
      </w:r>
      <w:smartTag w:uri="urn:schemas-microsoft-com:office:smarttags" w:element="metricconverter">
        <w:smartTagPr>
          <w:attr w:name="ProductID" w:val="100 000 кв. м"/>
        </w:smartTagPr>
        <w:r w:rsidRPr="00C8397D">
          <w:rPr>
            <w:rFonts w:ascii="Times New Roman" w:hAnsi="Times New Roman"/>
            <w:noProof/>
            <w:color w:val="000000"/>
            <w:spacing w:val="2"/>
            <w:sz w:val="28"/>
            <w:szCs w:val="28"/>
            <w:lang w:val="ru-RU"/>
          </w:rPr>
          <w:t>100 000 кв. м</w:t>
        </w:r>
      </w:smartTag>
      <w:r w:rsidRPr="00C8397D">
        <w:rPr>
          <w:rFonts w:ascii="Times New Roman" w:hAnsi="Times New Roman"/>
          <w:noProof/>
          <w:color w:val="000000"/>
          <w:spacing w:val="2"/>
          <w:sz w:val="28"/>
          <w:szCs w:val="28"/>
          <w:lang w:val="ru-RU"/>
        </w:rPr>
        <w:t xml:space="preserve"> (GLA) . Річний об’єм нових офісних площ, введених в експлуатацію у 2005 році, склав трохи більше </w:t>
      </w:r>
      <w:smartTag w:uri="urn:schemas-microsoft-com:office:smarttags" w:element="metricconverter">
        <w:smartTagPr>
          <w:attr w:name="ProductID" w:val="115 000 кв. м"/>
        </w:smartTagPr>
        <w:r w:rsidRPr="00C8397D">
          <w:rPr>
            <w:rFonts w:ascii="Times New Roman" w:hAnsi="Times New Roman"/>
            <w:noProof/>
            <w:color w:val="000000"/>
            <w:spacing w:val="2"/>
            <w:sz w:val="28"/>
            <w:szCs w:val="28"/>
            <w:lang w:val="ru-RU"/>
          </w:rPr>
          <w:t>115 000 кв. м</w:t>
        </w:r>
      </w:smartTag>
      <w:r w:rsidRPr="00C8397D">
        <w:rPr>
          <w:rFonts w:ascii="Times New Roman" w:hAnsi="Times New Roman"/>
          <w:noProof/>
          <w:color w:val="000000"/>
          <w:spacing w:val="2"/>
          <w:sz w:val="28"/>
          <w:szCs w:val="28"/>
          <w:lang w:val="ru-RU"/>
        </w:rPr>
        <w:t xml:space="preserve"> (GLA), що включає в основному офісні будівлі вторинної якості. У 2006 році річний об’єм нової пропозиції офісних площ в українській столиці досягнув лише близько </w:t>
      </w:r>
      <w:smartTag w:uri="urn:schemas-microsoft-com:office:smarttags" w:element="metricconverter">
        <w:smartTagPr>
          <w:attr w:name="ProductID" w:val="81 850 кв. м"/>
        </w:smartTagPr>
        <w:r w:rsidRPr="00C8397D">
          <w:rPr>
            <w:rFonts w:ascii="Times New Roman" w:hAnsi="Times New Roman"/>
            <w:noProof/>
            <w:color w:val="000000"/>
            <w:spacing w:val="2"/>
            <w:sz w:val="28"/>
            <w:szCs w:val="28"/>
            <w:lang w:val="ru-RU"/>
          </w:rPr>
          <w:t>81 850 кв. м</w:t>
        </w:r>
      </w:smartTag>
      <w:r w:rsidRPr="00C8397D">
        <w:rPr>
          <w:rFonts w:ascii="Times New Roman" w:hAnsi="Times New Roman"/>
          <w:noProof/>
          <w:color w:val="000000"/>
          <w:spacing w:val="2"/>
          <w:sz w:val="28"/>
          <w:szCs w:val="28"/>
          <w:lang w:val="ru-RU"/>
        </w:rPr>
        <w:t xml:space="preserve"> (GLA).</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Протягом 2007 року в Києві зберігався дефіцит якісних офісних приміщень. Річний об’єм нової пропозиції площ на ринку офісної нерухомості в Києві склав близько 177 300 кв.м (GLA) в 2007 році. Серед основних офісних об’єктів, завершених протягом року, - бізнес-центри «Парус», «Євразія» (колишній «Айсберг»), «Фаренгейт», а також перша черга бізнес-центру «Горизонт Парк».</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2008 році річний об’єм нової пропозиції офісних площ в Києві склав близько </w:t>
      </w:r>
      <w:smartTag w:uri="urn:schemas-microsoft-com:office:smarttags" w:element="metricconverter">
        <w:smartTagPr>
          <w:attr w:name="ProductID" w:val="175 100 кв. м"/>
        </w:smartTagPr>
        <w:r w:rsidRPr="00C8397D">
          <w:rPr>
            <w:rFonts w:ascii="Times New Roman" w:hAnsi="Times New Roman"/>
            <w:noProof/>
            <w:color w:val="000000"/>
            <w:spacing w:val="2"/>
            <w:sz w:val="28"/>
            <w:szCs w:val="28"/>
            <w:lang w:val="ru-RU"/>
          </w:rPr>
          <w:t>175 100 кв. м</w:t>
        </w:r>
      </w:smartTag>
      <w:r w:rsidRPr="00C8397D">
        <w:rPr>
          <w:rFonts w:ascii="Times New Roman" w:hAnsi="Times New Roman"/>
          <w:noProof/>
          <w:color w:val="000000"/>
          <w:spacing w:val="2"/>
          <w:sz w:val="28"/>
          <w:szCs w:val="28"/>
          <w:lang w:val="ru-RU"/>
        </w:rPr>
        <w:t xml:space="preserve"> (GLA). Серед основних об’єктів введених в експлуатацію протягом року - друга черга бізнес-центрів "Леонардо" і "Іллінський", а також бізнес-центр на вулиці Фізкультури, 28 і бізнес-центр «Прайм». В структурі нової пропозиції офісів в Києві протягом 2008 року, як і в попередні періоди, домінували приміщення класу B і реконструйовані приміщення.</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Ринок офісної нерухомості в Києві сильно постраждав внаслідок фінансової кризи, яка почалася в четвертому кварталі 2008 року. Розвиток багатьох масштабних офісних проектів, які були заплановані в українській столиці до початку фінансової кризи, на даний час призупинено через відсутність фінансування та економічний спад.</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2009 році загальний об’єм нових офісних приміщень, введених в експлуатацію в Києві, склав близько </w:t>
      </w:r>
      <w:smartTag w:uri="urn:schemas-microsoft-com:office:smarttags" w:element="metricconverter">
        <w:smartTagPr>
          <w:attr w:name="ProductID" w:val="123 860 кв. м"/>
        </w:smartTagPr>
        <w:r w:rsidRPr="00C8397D">
          <w:rPr>
            <w:rFonts w:ascii="Times New Roman" w:hAnsi="Times New Roman"/>
            <w:noProof/>
            <w:color w:val="000000"/>
            <w:spacing w:val="2"/>
            <w:sz w:val="28"/>
            <w:szCs w:val="28"/>
            <w:lang w:val="ru-RU"/>
          </w:rPr>
          <w:t>123 860 кв. м</w:t>
        </w:r>
      </w:smartTag>
      <w:r w:rsidRPr="00C8397D">
        <w:rPr>
          <w:rFonts w:ascii="Times New Roman" w:hAnsi="Times New Roman"/>
          <w:noProof/>
          <w:color w:val="000000"/>
          <w:spacing w:val="2"/>
          <w:sz w:val="28"/>
          <w:szCs w:val="28"/>
          <w:lang w:val="ru-RU"/>
        </w:rPr>
        <w:t xml:space="preserve"> (GLA), що відображає скорочення площ, введених в експлуатацію, на понад 29% в порівнянні з 2008 роком. Серед об’єктів офісної нерухомості, введених в експлуатацію в </w:t>
      </w:r>
      <w:r w:rsidRPr="00C8397D">
        <w:rPr>
          <w:rFonts w:ascii="Times New Roman" w:hAnsi="Times New Roman"/>
          <w:noProof/>
          <w:color w:val="000000"/>
          <w:spacing w:val="2"/>
          <w:sz w:val="28"/>
          <w:szCs w:val="28"/>
          <w:lang w:val="ru-RU"/>
        </w:rPr>
        <w:lastRenderedPageBreak/>
        <w:t>Києві протягом року, переважають побудовані українськими девелоперами, часто через переформатування колишніх промислових і адміністративних будівель. Виняток склали друга черга</w:t>
      </w:r>
      <w:r w:rsidRPr="00C8397D">
        <w:rPr>
          <w:rFonts w:ascii="Times New Roman" w:hAnsi="Times New Roman"/>
          <w:noProof/>
          <w:color w:val="000000"/>
          <w:spacing w:val="2"/>
          <w:sz w:val="28"/>
          <w:szCs w:val="28"/>
          <w:lang w:val="ru-RU"/>
        </w:rPr>
        <w:tab/>
        <w:t>бізнес-центру «Горизонт Парк» і кілька дрібніших офісних будівель.</w:t>
      </w:r>
    </w:p>
    <w:p w:rsidR="00192005" w:rsidRPr="00C8397D" w:rsidRDefault="00192005" w:rsidP="00192005">
      <w:pPr>
        <w:spacing w:after="0" w:line="360" w:lineRule="auto"/>
        <w:ind w:firstLine="709"/>
        <w:jc w:val="both"/>
        <w:rPr>
          <w:rFonts w:ascii="Times New Roman" w:hAnsi="Times New Roman"/>
          <w:i/>
          <w:noProof/>
          <w:color w:val="000000"/>
          <w:spacing w:val="2"/>
          <w:sz w:val="28"/>
          <w:szCs w:val="28"/>
          <w:lang w:val="ru-RU"/>
        </w:rPr>
      </w:pPr>
      <w:r w:rsidRPr="00C8397D">
        <w:rPr>
          <w:rFonts w:ascii="Times New Roman" w:hAnsi="Times New Roman"/>
          <w:i/>
          <w:noProof/>
          <w:color w:val="000000"/>
          <w:spacing w:val="2"/>
          <w:sz w:val="28"/>
          <w:szCs w:val="28"/>
          <w:lang w:val="ru-RU"/>
        </w:rPr>
        <w:t>Пропозиція офісної нерухомості</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В кінці березня 2012 загальний обсяг офісних приміщень у Києві склав близько </w:t>
      </w:r>
      <w:smartTag w:uri="urn:schemas-microsoft-com:office:smarttags" w:element="metricconverter">
        <w:smartTagPr>
          <w:attr w:name="ProductID" w:val="1 276 635 кв. м"/>
        </w:smartTagPr>
        <w:r w:rsidRPr="00C8397D">
          <w:rPr>
            <w:rFonts w:ascii="Times New Roman" w:hAnsi="Times New Roman"/>
            <w:noProof/>
            <w:color w:val="000000"/>
            <w:spacing w:val="2"/>
            <w:sz w:val="28"/>
            <w:szCs w:val="28"/>
            <w:lang w:val="ru-RU"/>
          </w:rPr>
          <w:t>1 276 635 кв. м</w:t>
        </w:r>
      </w:smartTag>
      <w:r w:rsidRPr="00C8397D">
        <w:rPr>
          <w:rFonts w:ascii="Times New Roman" w:hAnsi="Times New Roman"/>
          <w:noProof/>
          <w:color w:val="000000"/>
          <w:spacing w:val="2"/>
          <w:sz w:val="28"/>
          <w:szCs w:val="28"/>
          <w:lang w:val="ru-RU"/>
        </w:rPr>
        <w:t xml:space="preserve"> (GLA) без урахування площ державних установ і офісних будівель, побудованих компаніями для власних потреб.</w:t>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Ринок офісної нерухомості в Києві залишається структурно ненасиченим в порівнянні з ринками інших столиць Центральної і Східної Європи як з точки зору загального обсягу офісних площ, так і щодо різноманітності форматів і якості приміщень, що доступні для оренди.</w:t>
      </w: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spacing w:val="7"/>
          <w:sz w:val="28"/>
          <w:szCs w:val="28"/>
          <w:lang w:val="ru-RU"/>
        </w:rPr>
      </w:pP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noProof/>
          <w:color w:val="000000"/>
          <w:spacing w:val="7"/>
          <w:sz w:val="28"/>
          <w:szCs w:val="28"/>
          <w:lang w:val="ru-RU"/>
        </w:rPr>
        <w:t>кв</w:t>
      </w:r>
      <w:r w:rsidRPr="00C8397D">
        <w:rPr>
          <w:rFonts w:ascii="Times New Roman" w:hAnsi="Times New Roman"/>
          <w:noProof/>
          <w:color w:val="000000"/>
          <w:spacing w:val="-1"/>
          <w:w w:val="95"/>
          <w:position w:val="2"/>
          <w:sz w:val="28"/>
          <w:szCs w:val="28"/>
          <w:lang w:val="ru-RU"/>
        </w:rPr>
        <w:t>.</w:t>
      </w:r>
      <w:r w:rsidRPr="00C8397D">
        <w:rPr>
          <w:rFonts w:ascii="Times New Roman" w:hAnsi="Times New Roman"/>
          <w:noProof/>
          <w:color w:val="000000"/>
          <w:spacing w:val="4"/>
          <w:sz w:val="28"/>
          <w:szCs w:val="28"/>
          <w:lang w:val="ru-RU"/>
        </w:rPr>
        <w:t>м</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4134485" cy="265557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27631" t="37068" r="46016" b="32442"/>
                    <a:stretch>
                      <a:fillRect/>
                    </a:stretch>
                  </pic:blipFill>
                  <pic:spPr bwMode="auto">
                    <a:xfrm>
                      <a:off x="0" y="0"/>
                      <a:ext cx="4134485" cy="265557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highlight w:val="yellow"/>
          <w:lang w:val="ru-RU"/>
        </w:rPr>
        <w:lastRenderedPageBreak/>
        <w:t>Графік 4.3.1.2</w:t>
      </w:r>
      <w:r w:rsidRPr="00C8397D">
        <w:rPr>
          <w:rFonts w:ascii="Times New Roman" w:hAnsi="Times New Roman"/>
          <w:noProof/>
          <w:color w:val="000000"/>
          <w:spacing w:val="2"/>
          <w:sz w:val="28"/>
          <w:szCs w:val="28"/>
          <w:lang w:val="ru-RU"/>
        </w:rPr>
        <w:t xml:space="preserve"> - Загальний об’єм офісних приміщень в Києві і інших столицях країн Центральної та Східної Європи</w:t>
      </w:r>
    </w:p>
    <w:p w:rsidR="00192005" w:rsidRPr="00C8397D" w:rsidRDefault="00192005" w:rsidP="00192005">
      <w:pPr>
        <w:spacing w:after="0" w:line="360" w:lineRule="auto"/>
        <w:ind w:firstLine="709"/>
        <w:jc w:val="both"/>
        <w:rPr>
          <w:rFonts w:ascii="Times New Roman" w:hAnsi="Times New Roman"/>
          <w:noProof/>
          <w:color w:val="000000"/>
          <w:spacing w:val="11"/>
          <w:sz w:val="28"/>
          <w:szCs w:val="28"/>
          <w:lang w:val="ru-RU"/>
        </w:rPr>
      </w:pPr>
      <w:r w:rsidRPr="00C8397D">
        <w:rPr>
          <w:rFonts w:ascii="Times New Roman" w:hAnsi="Times New Roman"/>
          <w:noProof/>
          <w:color w:val="000000"/>
          <w:spacing w:val="11"/>
          <w:sz w:val="28"/>
          <w:szCs w:val="28"/>
          <w:lang w:val="ru-RU"/>
        </w:rPr>
        <w:t>У 2010 році були відновлені роботи по будівництву ряду великих об'єктів офісної нерухомості, що призвело до значного зростання обсягу нової пропозиції на ринку офісної нерухомості в Києві вже в четвертому кварталі 2011 року.</w:t>
      </w:r>
    </w:p>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Загальний обсяг нових офісних приміщень в Києві в січні-вересні 2011 року досяг </w:t>
      </w:r>
      <w:smartTag w:uri="urn:schemas-microsoft-com:office:smarttags" w:element="metricconverter">
        <w:smartTagPr>
          <w:attr w:name="ProductID" w:val="55 060 кв. м"/>
        </w:smartTagPr>
        <w:r w:rsidRPr="00C8397D">
          <w:rPr>
            <w:rFonts w:ascii="Times New Roman" w:hAnsi="Times New Roman"/>
            <w:noProof/>
            <w:color w:val="000000"/>
            <w:sz w:val="28"/>
            <w:szCs w:val="28"/>
            <w:lang w:val="ru-RU"/>
          </w:rPr>
          <w:t>55 060 кв. м</w:t>
        </w:r>
      </w:smartTag>
      <w:r w:rsidRPr="00C8397D">
        <w:rPr>
          <w:rFonts w:ascii="Times New Roman" w:hAnsi="Times New Roman"/>
          <w:noProof/>
          <w:color w:val="000000"/>
          <w:sz w:val="28"/>
          <w:szCs w:val="28"/>
          <w:lang w:val="ru-RU"/>
        </w:rPr>
        <w:t xml:space="preserve"> (GLA), що відображає збільшення обсягів нової пропозиції на понад 43% в порівнянні з аналогічним періодом 2010 року.</w:t>
      </w:r>
    </w:p>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Протягом жовтня-грудня 2011 року цей показник досяг рекордних </w:t>
      </w:r>
      <w:smartTag w:uri="urn:schemas-microsoft-com:office:smarttags" w:element="metricconverter">
        <w:smartTagPr>
          <w:attr w:name="ProductID" w:val="102 880 кв. м"/>
        </w:smartTagPr>
        <w:r w:rsidRPr="00C8397D">
          <w:rPr>
            <w:rFonts w:ascii="Times New Roman" w:hAnsi="Times New Roman"/>
            <w:noProof/>
            <w:color w:val="000000"/>
            <w:sz w:val="28"/>
            <w:szCs w:val="28"/>
            <w:lang w:val="ru-RU"/>
          </w:rPr>
          <w:t>102 880 кв. м</w:t>
        </w:r>
      </w:smartTag>
      <w:r w:rsidRPr="00C8397D">
        <w:rPr>
          <w:rFonts w:ascii="Times New Roman" w:hAnsi="Times New Roman"/>
          <w:noProof/>
          <w:color w:val="000000"/>
          <w:sz w:val="28"/>
          <w:szCs w:val="28"/>
          <w:lang w:val="ru-RU"/>
        </w:rPr>
        <w:t xml:space="preserve"> (GLA).</w:t>
      </w:r>
    </w:p>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Як результат, обсяг нових офісних приміщень, введених в експлуатацію в Києві в 2011 році, склав близько </w:t>
      </w:r>
      <w:smartTag w:uri="urn:schemas-microsoft-com:office:smarttags" w:element="metricconverter">
        <w:smartTagPr>
          <w:attr w:name="ProductID" w:val="158 000 кв. м"/>
        </w:smartTagPr>
        <w:r w:rsidRPr="00C8397D">
          <w:rPr>
            <w:rFonts w:ascii="Times New Roman" w:hAnsi="Times New Roman"/>
            <w:noProof/>
            <w:color w:val="000000"/>
            <w:sz w:val="28"/>
            <w:szCs w:val="28"/>
            <w:lang w:val="ru-RU"/>
          </w:rPr>
          <w:t>158 000 кв. м</w:t>
        </w:r>
      </w:smartTag>
      <w:r w:rsidRPr="00C8397D">
        <w:rPr>
          <w:rFonts w:ascii="Times New Roman" w:hAnsi="Times New Roman"/>
          <w:noProof/>
          <w:color w:val="000000"/>
          <w:sz w:val="28"/>
          <w:szCs w:val="28"/>
          <w:lang w:val="ru-RU"/>
        </w:rPr>
        <w:t xml:space="preserve"> (GLA), що в два рази перевищує показник 2010 року. Деякі з об’єктів, зданих в 2011 році, були не готові до фактичного використання на дату введення в експлуатацію, включаючи бізнес центри «101 Tower» (</w:t>
      </w:r>
      <w:smartTag w:uri="urn:schemas-microsoft-com:office:smarttags" w:element="metricconverter">
        <w:smartTagPr>
          <w:attr w:name="ProductID" w:val="46 405 кв. м"/>
        </w:smartTagPr>
        <w:r w:rsidRPr="00C8397D">
          <w:rPr>
            <w:rFonts w:ascii="Times New Roman" w:hAnsi="Times New Roman"/>
            <w:noProof/>
            <w:color w:val="000000"/>
            <w:sz w:val="28"/>
            <w:szCs w:val="28"/>
            <w:lang w:val="ru-RU"/>
          </w:rPr>
          <w:t>46 405 кв. м</w:t>
        </w:r>
      </w:smartTag>
      <w:r w:rsidRPr="00C8397D">
        <w:rPr>
          <w:rFonts w:ascii="Times New Roman" w:hAnsi="Times New Roman"/>
          <w:noProof/>
          <w:color w:val="000000"/>
          <w:sz w:val="28"/>
          <w:szCs w:val="28"/>
          <w:lang w:val="ru-RU"/>
        </w:rPr>
        <w:t xml:space="preserve"> GLA) і «Преміум Центр» (</w:t>
      </w:r>
      <w:smartTag w:uri="urn:schemas-microsoft-com:office:smarttags" w:element="metricconverter">
        <w:smartTagPr>
          <w:attr w:name="ProductID" w:val="36 000 кв. м"/>
        </w:smartTagPr>
        <w:r w:rsidRPr="00C8397D">
          <w:rPr>
            <w:rFonts w:ascii="Times New Roman" w:hAnsi="Times New Roman"/>
            <w:noProof/>
            <w:color w:val="000000"/>
            <w:sz w:val="28"/>
            <w:szCs w:val="28"/>
            <w:lang w:val="ru-RU"/>
          </w:rPr>
          <w:t>36 000 кв. м</w:t>
        </w:r>
      </w:smartTag>
      <w:r w:rsidRPr="00C8397D">
        <w:rPr>
          <w:rFonts w:ascii="Times New Roman" w:hAnsi="Times New Roman"/>
          <w:noProof/>
          <w:color w:val="000000"/>
          <w:sz w:val="28"/>
          <w:szCs w:val="28"/>
          <w:lang w:val="ru-RU"/>
        </w:rPr>
        <w:t xml:space="preserve"> GLA).</w:t>
      </w:r>
    </w:p>
    <w:p w:rsidR="00192005" w:rsidRPr="00C8397D" w:rsidRDefault="00192005" w:rsidP="00192005">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Не зважаючи на те, що в першому кварталі 2012 року не було побудовано нових офісних об’єктів, станом на початок року близько </w:t>
      </w:r>
      <w:smartTag w:uri="urn:schemas-microsoft-com:office:smarttags" w:element="metricconverter">
        <w:smartTagPr>
          <w:attr w:name="ProductID" w:val="305 000 кв. м"/>
        </w:smartTagPr>
        <w:r w:rsidRPr="00C8397D">
          <w:rPr>
            <w:rFonts w:ascii="Times New Roman" w:hAnsi="Times New Roman"/>
            <w:noProof/>
            <w:color w:val="000000"/>
            <w:sz w:val="28"/>
            <w:szCs w:val="28"/>
            <w:lang w:val="ru-RU"/>
          </w:rPr>
          <w:t>305 000 кв. м</w:t>
        </w:r>
      </w:smartTag>
      <w:r w:rsidRPr="00C8397D">
        <w:rPr>
          <w:rFonts w:ascii="Times New Roman" w:hAnsi="Times New Roman"/>
          <w:noProof/>
          <w:color w:val="000000"/>
          <w:sz w:val="28"/>
          <w:szCs w:val="28"/>
          <w:lang w:val="ru-RU"/>
        </w:rPr>
        <w:t xml:space="preserve"> (GLA) нових офісних площ заплановані до введення протягом 2012 в м. Києві. Проте, враховуючи досвід попередніх років, коли реалізація багатьох проектів в українській столиці переносилася на більш пізні періоди, ми допускаємо, що нова пропозиція в сегменті офісної нерухомості в 2012 році, швидше за все, не перевищить </w:t>
      </w:r>
      <w:smartTag w:uri="urn:schemas-microsoft-com:office:smarttags" w:element="metricconverter">
        <w:smartTagPr>
          <w:attr w:name="ProductID" w:val="230 000 кв. м"/>
        </w:smartTagPr>
        <w:r w:rsidRPr="00C8397D">
          <w:rPr>
            <w:rFonts w:ascii="Times New Roman" w:hAnsi="Times New Roman"/>
            <w:noProof/>
            <w:color w:val="000000"/>
            <w:sz w:val="28"/>
            <w:szCs w:val="28"/>
            <w:lang w:val="ru-RU"/>
          </w:rPr>
          <w:t>230 000 кв. м</w:t>
        </w:r>
      </w:smartTag>
      <w:r w:rsidRPr="00C8397D">
        <w:rPr>
          <w:rFonts w:ascii="Times New Roman" w:hAnsi="Times New Roman"/>
          <w:noProof/>
          <w:color w:val="000000"/>
          <w:sz w:val="28"/>
          <w:szCs w:val="28"/>
          <w:lang w:val="ru-RU"/>
        </w:rPr>
        <w:t xml:space="preserve"> (GLA).</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noProof/>
          <w:color w:val="000000"/>
          <w:spacing w:val="2"/>
          <w:sz w:val="28"/>
          <w:szCs w:val="28"/>
          <w:highlight w:val="yellow"/>
          <w:lang w:val="ru-RU"/>
        </w:rPr>
        <w:t>Таблиця 4.3.1.2</w:t>
      </w:r>
      <w:r w:rsidRPr="00C8397D">
        <w:rPr>
          <w:rFonts w:ascii="Times New Roman" w:hAnsi="Times New Roman"/>
          <w:noProof/>
          <w:color w:val="000000"/>
          <w:spacing w:val="2"/>
          <w:sz w:val="28"/>
          <w:szCs w:val="28"/>
          <w:lang w:val="ru-RU"/>
        </w:rPr>
        <w:t xml:space="preserve"> - Основні об’єкти офісної нерухомості, введені в експлуатацію в Києві в 2011 році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50"/>
        <w:gridCol w:w="1643"/>
        <w:gridCol w:w="1523"/>
        <w:gridCol w:w="758"/>
        <w:gridCol w:w="1546"/>
        <w:gridCol w:w="1615"/>
        <w:gridCol w:w="1636"/>
      </w:tblGrid>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Період</w:t>
            </w:r>
          </w:p>
        </w:tc>
        <w:tc>
          <w:tcPr>
            <w:tcW w:w="175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w:t>
            </w:r>
            <w:r w:rsidRPr="00C8397D">
              <w:rPr>
                <w:rFonts w:ascii="Times New Roman" w:hAnsi="Times New Roman"/>
                <w:sz w:val="28"/>
                <w:szCs w:val="28"/>
              </w:rPr>
              <w:t>’</w:t>
            </w:r>
            <w:r w:rsidRPr="00C8397D">
              <w:rPr>
                <w:rFonts w:ascii="Times New Roman" w:hAnsi="Times New Roman"/>
                <w:sz w:val="28"/>
                <w:szCs w:val="28"/>
                <w:lang w:val="ru-RU"/>
              </w:rPr>
              <w:t>єкт</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Розташування</w:t>
            </w:r>
          </w:p>
        </w:tc>
        <w:tc>
          <w:tcPr>
            <w:tcW w:w="0" w:type="auto"/>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GLA</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Забудовник</w:t>
            </w:r>
          </w:p>
        </w:tc>
        <w:tc>
          <w:tcPr>
            <w:tcW w:w="172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Основні орендарі</w:t>
            </w:r>
          </w:p>
        </w:tc>
        <w:tc>
          <w:tcPr>
            <w:tcW w:w="174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Завантаженість **(%)</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Q4 2011</w:t>
            </w:r>
          </w:p>
        </w:tc>
        <w:tc>
          <w:tcPr>
            <w:tcW w:w="175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uk-UA"/>
              </w:rPr>
              <w:t>БЦ 101 Tower</w:t>
            </w:r>
          </w:p>
        </w:tc>
        <w:tc>
          <w:tcPr>
            <w:tcW w:w="162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w:t>
            </w:r>
          </w:p>
        </w:tc>
        <w:tc>
          <w:tcPr>
            <w:tcW w:w="80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46405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«К.А.Н. Девелопме</w:t>
            </w:r>
            <w:r w:rsidRPr="00C8397D">
              <w:rPr>
                <w:rFonts w:ascii="Times New Roman" w:hAnsi="Times New Roman"/>
                <w:sz w:val="28"/>
                <w:szCs w:val="28"/>
                <w:lang w:val="ru-RU"/>
              </w:rPr>
              <w:lastRenderedPageBreak/>
              <w:t>нт»</w:t>
            </w:r>
          </w:p>
        </w:tc>
        <w:tc>
          <w:tcPr>
            <w:tcW w:w="172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w:t>
            </w:r>
            <w:r w:rsidRPr="00C8397D">
              <w:rPr>
                <w:rFonts w:ascii="Times New Roman" w:hAnsi="Times New Roman"/>
                <w:sz w:val="28"/>
                <w:szCs w:val="28"/>
                <w:lang w:val="ru-RU"/>
              </w:rPr>
              <w:t>К</w:t>
            </w:r>
            <w:r w:rsidRPr="00C8397D">
              <w:rPr>
                <w:rFonts w:ascii="Times New Roman" w:hAnsi="Times New Roman"/>
                <w:sz w:val="28"/>
                <w:szCs w:val="28"/>
              </w:rPr>
              <w:t>.</w:t>
            </w:r>
            <w:r w:rsidRPr="00C8397D">
              <w:rPr>
                <w:rFonts w:ascii="Times New Roman" w:hAnsi="Times New Roman"/>
                <w:sz w:val="28"/>
                <w:szCs w:val="28"/>
                <w:lang w:val="ru-RU"/>
              </w:rPr>
              <w:t>А</w:t>
            </w:r>
            <w:r w:rsidRPr="00C8397D">
              <w:rPr>
                <w:rFonts w:ascii="Times New Roman" w:hAnsi="Times New Roman"/>
                <w:sz w:val="28"/>
                <w:szCs w:val="28"/>
              </w:rPr>
              <w:t>.</w:t>
            </w:r>
            <w:r w:rsidRPr="00C8397D">
              <w:rPr>
                <w:rFonts w:ascii="Times New Roman" w:hAnsi="Times New Roman"/>
                <w:sz w:val="28"/>
                <w:szCs w:val="28"/>
                <w:lang w:val="ru-RU"/>
              </w:rPr>
              <w:t>Н</w:t>
            </w:r>
            <w:r w:rsidRPr="00C8397D">
              <w:rPr>
                <w:rFonts w:ascii="Times New Roman" w:hAnsi="Times New Roman"/>
                <w:sz w:val="28"/>
                <w:szCs w:val="28"/>
              </w:rPr>
              <w:t xml:space="preserve">. </w:t>
            </w:r>
            <w:r w:rsidRPr="00C8397D">
              <w:rPr>
                <w:rFonts w:ascii="Times New Roman" w:hAnsi="Times New Roman"/>
                <w:sz w:val="28"/>
                <w:szCs w:val="28"/>
                <w:lang w:val="ru-RU"/>
              </w:rPr>
              <w:t>Строй</w:t>
            </w:r>
            <w:r w:rsidRPr="00C8397D">
              <w:rPr>
                <w:rFonts w:ascii="Times New Roman" w:hAnsi="Times New Roman"/>
                <w:sz w:val="28"/>
                <w:szCs w:val="28"/>
              </w:rPr>
              <w:t xml:space="preserve">», </w:t>
            </w:r>
            <w:r w:rsidRPr="00C8397D">
              <w:rPr>
                <w:rFonts w:ascii="Times New Roman" w:hAnsi="Times New Roman"/>
                <w:sz w:val="28"/>
                <w:szCs w:val="28"/>
              </w:rPr>
              <w:lastRenderedPageBreak/>
              <w:t>Sport Life, Monaco</w:t>
            </w:r>
          </w:p>
        </w:tc>
        <w:tc>
          <w:tcPr>
            <w:tcW w:w="17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13</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Q4 2011</w:t>
            </w:r>
          </w:p>
        </w:tc>
        <w:tc>
          <w:tcPr>
            <w:tcW w:w="17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«Преміум центр»</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«Преміум центр»</w:t>
            </w:r>
          </w:p>
        </w:tc>
        <w:tc>
          <w:tcPr>
            <w:tcW w:w="172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p>
        </w:tc>
        <w:tc>
          <w:tcPr>
            <w:tcW w:w="17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0</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Q2 2011</w:t>
            </w:r>
          </w:p>
        </w:tc>
        <w:tc>
          <w:tcPr>
            <w:tcW w:w="175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Кловському узвозі</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«Житлобуд»</w:t>
            </w:r>
          </w:p>
        </w:tc>
        <w:tc>
          <w:tcPr>
            <w:tcW w:w="172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Bacardi-Martini, інші**</w:t>
            </w:r>
            <w:r w:rsidRPr="00C8397D">
              <w:rPr>
                <w:rFonts w:ascii="Times New Roman" w:hAnsi="Times New Roman"/>
                <w:sz w:val="28"/>
                <w:szCs w:val="28"/>
                <w:lang w:val="uk-UA"/>
              </w:rPr>
              <w:t>*</w:t>
            </w:r>
          </w:p>
        </w:tc>
        <w:tc>
          <w:tcPr>
            <w:tcW w:w="17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100</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Q1 2011</w:t>
            </w:r>
          </w:p>
        </w:tc>
        <w:tc>
          <w:tcPr>
            <w:tcW w:w="175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«Ріальто»</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15000</w:t>
            </w:r>
          </w:p>
        </w:tc>
        <w:tc>
          <w:tcPr>
            <w:tcW w:w="0" w:type="auto"/>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Istil Group</w:t>
            </w:r>
          </w:p>
        </w:tc>
        <w:tc>
          <w:tcPr>
            <w:tcW w:w="172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 xml:space="preserve">Swedbank, Borlas Ukraine, Innovex </w:t>
            </w:r>
          </w:p>
        </w:tc>
        <w:tc>
          <w:tcPr>
            <w:tcW w:w="17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63</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Q3 2011</w:t>
            </w:r>
          </w:p>
        </w:tc>
        <w:tc>
          <w:tcPr>
            <w:tcW w:w="175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Саксаганського</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10300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«Електротех»</w:t>
            </w:r>
          </w:p>
        </w:tc>
        <w:tc>
          <w:tcPr>
            <w:tcW w:w="172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Uniqa</w:t>
            </w:r>
          </w:p>
        </w:tc>
        <w:tc>
          <w:tcPr>
            <w:tcW w:w="17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45</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75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«ЮТА Сервіс»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«ЮТА Сервіс»</w:t>
            </w:r>
          </w:p>
        </w:tc>
        <w:tc>
          <w:tcPr>
            <w:tcW w:w="172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Kuprum, Olive Line</w:t>
            </w:r>
          </w:p>
        </w:tc>
        <w:tc>
          <w:tcPr>
            <w:tcW w:w="17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39</w:t>
            </w:r>
          </w:p>
        </w:tc>
      </w:tr>
      <w:tr w:rsidR="00192005" w:rsidRPr="00C8397D" w:rsidTr="00BA5963">
        <w:tc>
          <w:tcPr>
            <w:tcW w:w="89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75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«Максім»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6350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«Аладін»/ «Реле-Інвест»</w:t>
            </w:r>
          </w:p>
        </w:tc>
        <w:tc>
          <w:tcPr>
            <w:tcW w:w="172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Конфіденційно</w:t>
            </w:r>
          </w:p>
        </w:tc>
        <w:tc>
          <w:tcPr>
            <w:tcW w:w="174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w:t>
            </w:r>
          </w:p>
        </w:tc>
      </w:tr>
    </w:tbl>
    <w:p w:rsidR="00192005" w:rsidRPr="00C8397D" w:rsidRDefault="00192005" w:rsidP="00192005">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ЦДР – Центральний діловий район; Ц – центр за межами ЦДР: НЦ-ЗБ-нецентральний район на західному березі річки Дніпро, НЦ-СБ-нецентральний район на східному березі Дніпра.</w:t>
      </w:r>
    </w:p>
    <w:p w:rsidR="00192005" w:rsidRPr="00C8397D" w:rsidRDefault="00192005" w:rsidP="00192005">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xml:space="preserve">**Станом на кінець травня 2012 року. </w:t>
      </w:r>
    </w:p>
    <w:p w:rsidR="00192005" w:rsidRPr="00C8397D" w:rsidRDefault="00192005" w:rsidP="00192005">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Офісні блоки в будівлі були продані багаточисленним власникам.</w:t>
      </w:r>
    </w:p>
    <w:p w:rsidR="00192005" w:rsidRPr="00C8397D" w:rsidRDefault="00192005" w:rsidP="00192005">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highlight w:val="yellow"/>
          <w:lang w:val="ru-RU"/>
        </w:rPr>
        <w:t>Таблиця 4.3.1.3 -</w:t>
      </w:r>
      <w:r w:rsidRPr="00C8397D">
        <w:rPr>
          <w:rFonts w:ascii="Times New Roman" w:hAnsi="Times New Roman"/>
          <w:noProof/>
          <w:color w:val="000000"/>
          <w:spacing w:val="6"/>
          <w:sz w:val="28"/>
          <w:szCs w:val="28"/>
          <w:lang w:val="ru-RU"/>
        </w:rPr>
        <w:t xml:space="preserve"> Основні об’єкти офісної нерухомості, заплановані до виводу на ринок в Києві в 2012-2013 роках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1924"/>
        <w:gridCol w:w="871"/>
        <w:gridCol w:w="2803"/>
        <w:gridCol w:w="1553"/>
      </w:tblGrid>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w:t>
            </w:r>
            <w:r w:rsidRPr="00C8397D">
              <w:rPr>
                <w:rFonts w:ascii="Times New Roman" w:hAnsi="Times New Roman"/>
                <w:sz w:val="28"/>
                <w:szCs w:val="28"/>
              </w:rPr>
              <w:t>’</w:t>
            </w:r>
            <w:r w:rsidRPr="00C8397D">
              <w:rPr>
                <w:rFonts w:ascii="Times New Roman" w:hAnsi="Times New Roman"/>
                <w:sz w:val="28"/>
                <w:szCs w:val="28"/>
                <w:lang w:val="ru-RU"/>
              </w:rPr>
              <w:t>єкт</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Розташування</w:t>
            </w:r>
            <w:r w:rsidRPr="00C8397D">
              <w:rPr>
                <w:rFonts w:ascii="Times New Roman" w:hAnsi="Times New Roman"/>
                <w:sz w:val="28"/>
                <w:szCs w:val="28"/>
                <w:lang w:val="ru-RU"/>
              </w:rPr>
              <w:lastRenderedPageBreak/>
              <w:t>*</w:t>
            </w:r>
          </w:p>
        </w:tc>
        <w:tc>
          <w:tcPr>
            <w:tcW w:w="119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GLA</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Країна </w:t>
            </w:r>
            <w:r w:rsidRPr="00C8397D">
              <w:rPr>
                <w:rFonts w:ascii="Times New Roman" w:hAnsi="Times New Roman"/>
                <w:sz w:val="28"/>
                <w:szCs w:val="28"/>
                <w:lang w:val="ru-RU"/>
              </w:rPr>
              <w:lastRenderedPageBreak/>
              <w:t>походження</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БЦ «Марія»</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Печерськ</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47300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«К.А.Н. Девелопмент»</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«Гулівер» («Парус-2»)</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43850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«Мандарин Плаза» / «Три О»</w:t>
            </w:r>
          </w:p>
        </w:tc>
        <w:tc>
          <w:tcPr>
            <w:tcW w:w="154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«Торонто-Київ»</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37670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«Торонто-Київ</w:t>
            </w:r>
          </w:p>
        </w:tc>
        <w:tc>
          <w:tcPr>
            <w:tcW w:w="154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БЦ IQ</w:t>
            </w:r>
          </w:p>
        </w:tc>
        <w:tc>
          <w:tcPr>
            <w:tcW w:w="213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Печерськ</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33950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«К.А.Н. Девелопмент»</w:t>
            </w:r>
          </w:p>
        </w:tc>
        <w:tc>
          <w:tcPr>
            <w:tcW w:w="154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«Сенатор»</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30000</w:t>
            </w:r>
          </w:p>
        </w:tc>
        <w:tc>
          <w:tcPr>
            <w:tcW w:w="2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DeVision</w:t>
            </w:r>
          </w:p>
        </w:tc>
        <w:tc>
          <w:tcPr>
            <w:tcW w:w="154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Щорса, 36</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Печерськ</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27280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«Житлобуд»</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пр. Московському, 28</w:t>
            </w:r>
          </w:p>
        </w:tc>
        <w:tc>
          <w:tcPr>
            <w:tcW w:w="2131"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23130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деверопер</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«Форум Вікторія Парк»</w:t>
            </w:r>
          </w:p>
        </w:tc>
        <w:tc>
          <w:tcPr>
            <w:tcW w:w="2131"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22500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«Форум Груп»</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Лейпцизькій, 15</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Печерськ</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21800</w:t>
            </w:r>
          </w:p>
        </w:tc>
        <w:tc>
          <w:tcPr>
            <w:tcW w:w="291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Merx</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«Сигма»</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20800</w:t>
            </w:r>
          </w:p>
        </w:tc>
        <w:tc>
          <w:tcPr>
            <w:tcW w:w="2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Midland Development Ukraine</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БЦ “</w:t>
            </w:r>
            <w:r w:rsidRPr="00C8397D">
              <w:rPr>
                <w:rFonts w:ascii="Times New Roman" w:hAnsi="Times New Roman"/>
                <w:sz w:val="28"/>
                <w:szCs w:val="28"/>
                <w:lang w:val="uk-UA"/>
              </w:rPr>
              <w:t>Горизонт Поділ» (Фаза 2)</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noProof/>
                <w:color w:val="000000"/>
                <w:position w:val="3"/>
                <w:sz w:val="28"/>
                <w:szCs w:val="28"/>
              </w:rPr>
              <w:t>ISA</w:t>
            </w:r>
            <w:r w:rsidRPr="00C8397D">
              <w:rPr>
                <w:rFonts w:ascii="Times New Roman" w:hAnsi="Times New Roman"/>
                <w:noProof/>
                <w:color w:val="000000"/>
                <w:spacing w:val="4"/>
                <w:sz w:val="28"/>
                <w:szCs w:val="28"/>
              </w:rPr>
              <w:t> </w:t>
            </w:r>
            <w:r w:rsidRPr="00C8397D">
              <w:rPr>
                <w:rFonts w:ascii="Times New Roman" w:hAnsi="Times New Roman"/>
                <w:noProof/>
                <w:color w:val="000000"/>
                <w:position w:val="3"/>
                <w:sz w:val="28"/>
                <w:szCs w:val="28"/>
              </w:rPr>
              <w:t>Prime</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Development</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Васильківській / Ак. Глушко</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13000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«Реле Інвест»</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БЦ </w:t>
            </w:r>
            <w:r w:rsidRPr="00C8397D">
              <w:rPr>
                <w:rFonts w:ascii="Times New Roman" w:hAnsi="Times New Roman"/>
                <w:sz w:val="28"/>
                <w:szCs w:val="28"/>
              </w:rPr>
              <w:t>City Gate</w:t>
            </w:r>
            <w:r w:rsidRPr="00C8397D">
              <w:rPr>
                <w:rFonts w:ascii="Times New Roman" w:hAnsi="Times New Roman"/>
                <w:sz w:val="28"/>
                <w:szCs w:val="28"/>
                <w:lang w:val="uk-UA"/>
              </w:rPr>
              <w:t xml:space="preserve"> (фаза 1)</w:t>
            </w:r>
          </w:p>
        </w:tc>
        <w:tc>
          <w:tcPr>
            <w:tcW w:w="213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noProof/>
                <w:color w:val="000000"/>
                <w:position w:val="3"/>
                <w:sz w:val="28"/>
                <w:szCs w:val="28"/>
                <w:lang w:val="uk-UA"/>
              </w:rPr>
              <w:t>НЦ-СБ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13000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noProof/>
                <w:color w:val="000000"/>
                <w:position w:val="3"/>
                <w:sz w:val="28"/>
                <w:szCs w:val="28"/>
              </w:rPr>
              <w:t>City</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Capital</w:t>
            </w:r>
            <w:r w:rsidRPr="00C8397D">
              <w:rPr>
                <w:rFonts w:ascii="Times New Roman" w:hAnsi="Times New Roman"/>
                <w:noProof/>
                <w:color w:val="000000"/>
                <w:spacing w:val="4"/>
                <w:sz w:val="28"/>
                <w:szCs w:val="28"/>
              </w:rPr>
              <w:t> </w:t>
            </w:r>
            <w:r w:rsidRPr="00C8397D">
              <w:rPr>
                <w:rFonts w:ascii="Times New Roman" w:hAnsi="Times New Roman"/>
                <w:noProof/>
                <w:color w:val="000000"/>
                <w:position w:val="3"/>
                <w:sz w:val="28"/>
                <w:szCs w:val="28"/>
              </w:rPr>
              <w:t>Group</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БЦ «Кристалл»</w:t>
            </w:r>
          </w:p>
        </w:tc>
        <w:tc>
          <w:tcPr>
            <w:tcW w:w="213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noProof/>
                <w:color w:val="000000"/>
                <w:position w:val="3"/>
                <w:sz w:val="28"/>
                <w:szCs w:val="28"/>
                <w:lang w:val="uk-UA"/>
              </w:rPr>
              <w:t>НЦ-СБ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9800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Перша Дніпропетровська Інвестиційна Компанія</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Спаській, 28/14</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9350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Перспектива Резиденція</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Дружби Народів, 19</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Печерськ</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7000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Т. Шамрило, 7а</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6700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«Георгій»</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Червоноармійській, 98</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6300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ВС Енерджі Інтернейшнл</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Смірнова-Ласточкіна, 28</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5500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«Патріарх-Хол</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5000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Сагайдачного</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3700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192005" w:rsidRPr="00C8397D" w:rsidTr="00BA5963">
        <w:tc>
          <w:tcPr>
            <w:tcW w:w="240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БЦ Eleven (фаза 2)</w:t>
            </w:r>
          </w:p>
        </w:tc>
        <w:tc>
          <w:tcPr>
            <w:tcW w:w="213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w:t>
            </w:r>
          </w:p>
        </w:tc>
        <w:tc>
          <w:tcPr>
            <w:tcW w:w="2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bl>
    <w:p w:rsidR="00192005" w:rsidRPr="00C8397D" w:rsidRDefault="00192005" w:rsidP="00192005">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ЦДР – Центральний діловий район; Ц – центр за межами ЦДР: НЦ-ЗБ-нецентральний район на західному березі річки Дніпро, НЦ-СБ-нецентральний район на східному березі Дніпра.</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На даний час серед офісних проектів немає таких, які можуть класифікуватися як справжні бізнес-парки. У 2008 році кілька якісних проектів з будівництва масштабних «бізнес-парків» були заплановані в значно менш центральних районах, однак будівництво офісних об’єктів в </w:t>
      </w:r>
      <w:r w:rsidRPr="00C8397D">
        <w:rPr>
          <w:rFonts w:ascii="Times New Roman" w:hAnsi="Times New Roman"/>
          <w:noProof/>
          <w:color w:val="000000"/>
          <w:spacing w:val="3"/>
          <w:sz w:val="28"/>
          <w:szCs w:val="28"/>
          <w:lang w:val="ru-RU"/>
        </w:rPr>
        <w:lastRenderedPageBreak/>
        <w:t>цьому форматі було відкладене в зв’язку з поточною фінансовою кризою та економічним спадом.</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Тим не менш, на початку 2012 року українська компанія UDP ініціювала проект «Інноваційний парк BIONIC HILL» (http://bionic-hill.com), який буде розташований на ділянці площею </w:t>
      </w:r>
      <w:smartTag w:uri="urn:schemas-microsoft-com:office:smarttags" w:element="metricconverter">
        <w:smartTagPr>
          <w:attr w:name="ProductID" w:val="147 га"/>
        </w:smartTagPr>
        <w:r w:rsidRPr="00C8397D">
          <w:rPr>
            <w:rFonts w:ascii="Times New Roman" w:hAnsi="Times New Roman"/>
            <w:noProof/>
            <w:color w:val="000000"/>
            <w:spacing w:val="3"/>
            <w:sz w:val="28"/>
            <w:szCs w:val="28"/>
            <w:lang w:val="ru-RU"/>
          </w:rPr>
          <w:t>147 га</w:t>
        </w:r>
      </w:smartTag>
      <w:r w:rsidRPr="00C8397D">
        <w:rPr>
          <w:rFonts w:ascii="Times New Roman" w:hAnsi="Times New Roman"/>
          <w:noProof/>
          <w:color w:val="000000"/>
          <w:spacing w:val="3"/>
          <w:sz w:val="28"/>
          <w:szCs w:val="28"/>
          <w:lang w:val="ru-RU"/>
        </w:rPr>
        <w:t xml:space="preserve"> в селищі Коцюбинське, на відстані приблизно </w:t>
      </w:r>
      <w:smartTag w:uri="urn:schemas-microsoft-com:office:smarttags" w:element="metricconverter">
        <w:smartTagPr>
          <w:attr w:name="ProductID" w:val="17 км"/>
        </w:smartTagPr>
        <w:r w:rsidRPr="00C8397D">
          <w:rPr>
            <w:rFonts w:ascii="Times New Roman" w:hAnsi="Times New Roman"/>
            <w:noProof/>
            <w:color w:val="000000"/>
            <w:spacing w:val="3"/>
            <w:sz w:val="28"/>
            <w:szCs w:val="28"/>
            <w:lang w:val="ru-RU"/>
          </w:rPr>
          <w:t>17 км</w:t>
        </w:r>
      </w:smartTag>
      <w:r w:rsidRPr="00C8397D">
        <w:rPr>
          <w:rFonts w:ascii="Times New Roman" w:hAnsi="Times New Roman"/>
          <w:noProof/>
          <w:color w:val="000000"/>
          <w:spacing w:val="3"/>
          <w:sz w:val="28"/>
          <w:szCs w:val="28"/>
          <w:lang w:val="ru-RU"/>
        </w:rPr>
        <w:t xml:space="preserve"> від центру міста Києва та в </w:t>
      </w:r>
      <w:smartTag w:uri="urn:schemas-microsoft-com:office:smarttags" w:element="metricconverter">
        <w:smartTagPr>
          <w:attr w:name="ProductID" w:val="2,5 км"/>
        </w:smartTagPr>
        <w:r w:rsidRPr="00C8397D">
          <w:rPr>
            <w:rFonts w:ascii="Times New Roman" w:hAnsi="Times New Roman"/>
            <w:noProof/>
            <w:color w:val="000000"/>
            <w:spacing w:val="3"/>
            <w:sz w:val="28"/>
            <w:szCs w:val="28"/>
            <w:lang w:val="ru-RU"/>
          </w:rPr>
          <w:t>2,5 км</w:t>
        </w:r>
      </w:smartTag>
      <w:r w:rsidRPr="00C8397D">
        <w:rPr>
          <w:rFonts w:ascii="Times New Roman" w:hAnsi="Times New Roman"/>
          <w:noProof/>
          <w:color w:val="000000"/>
          <w:spacing w:val="3"/>
          <w:sz w:val="28"/>
          <w:szCs w:val="28"/>
          <w:lang w:val="ru-RU"/>
        </w:rPr>
        <w:t xml:space="preserve"> до його кільцевої дороги.</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Планується, що загальна площа будівель проекту становитиме </w:t>
      </w:r>
      <w:smartTag w:uri="urn:schemas-microsoft-com:office:smarttags" w:element="metricconverter">
        <w:smartTagPr>
          <w:attr w:name="ProductID" w:val="900 000 кв. м"/>
        </w:smartTagPr>
        <w:r w:rsidRPr="00C8397D">
          <w:rPr>
            <w:rFonts w:ascii="Times New Roman" w:hAnsi="Times New Roman"/>
            <w:noProof/>
            <w:color w:val="000000"/>
            <w:spacing w:val="3"/>
            <w:sz w:val="28"/>
            <w:szCs w:val="28"/>
            <w:lang w:val="ru-RU"/>
          </w:rPr>
          <w:t>900 000 кв. м</w:t>
        </w:r>
      </w:smartTag>
      <w:r w:rsidRPr="00C8397D">
        <w:rPr>
          <w:rFonts w:ascii="Times New Roman" w:hAnsi="Times New Roman"/>
          <w:noProof/>
          <w:color w:val="000000"/>
          <w:spacing w:val="3"/>
          <w:sz w:val="28"/>
          <w:szCs w:val="28"/>
          <w:lang w:val="ru-RU"/>
        </w:rPr>
        <w:t xml:space="preserve">, в тому числі </w:t>
      </w:r>
      <w:smartTag w:uri="urn:schemas-microsoft-com:office:smarttags" w:element="metricconverter">
        <w:smartTagPr>
          <w:attr w:name="ProductID" w:val="225 000 кв. м"/>
        </w:smartTagPr>
        <w:r w:rsidRPr="00C8397D">
          <w:rPr>
            <w:rFonts w:ascii="Times New Roman" w:hAnsi="Times New Roman"/>
            <w:noProof/>
            <w:color w:val="000000"/>
            <w:spacing w:val="3"/>
            <w:sz w:val="28"/>
            <w:szCs w:val="28"/>
            <w:lang w:val="ru-RU"/>
          </w:rPr>
          <w:t>225 000 кв. м</w:t>
        </w:r>
      </w:smartTag>
      <w:r w:rsidRPr="00C8397D">
        <w:rPr>
          <w:rFonts w:ascii="Times New Roman" w:hAnsi="Times New Roman"/>
          <w:noProof/>
          <w:color w:val="000000"/>
          <w:spacing w:val="3"/>
          <w:sz w:val="28"/>
          <w:szCs w:val="28"/>
          <w:lang w:val="ru-RU"/>
        </w:rPr>
        <w:t xml:space="preserve"> офісних приміщень у форматі «бізнес-парк», технопарк з університетом і зоною високих технологій, </w:t>
      </w:r>
      <w:smartTag w:uri="urn:schemas-microsoft-com:office:smarttags" w:element="metricconverter">
        <w:smartTagPr>
          <w:attr w:name="ProductID" w:val="230 000 кв. м"/>
        </w:smartTagPr>
        <w:r w:rsidRPr="00C8397D">
          <w:rPr>
            <w:rFonts w:ascii="Times New Roman" w:hAnsi="Times New Roman"/>
            <w:noProof/>
            <w:color w:val="000000"/>
            <w:spacing w:val="3"/>
            <w:sz w:val="28"/>
            <w:szCs w:val="28"/>
            <w:lang w:val="ru-RU"/>
          </w:rPr>
          <w:t>230 000 кв. м</w:t>
        </w:r>
      </w:smartTag>
      <w:r w:rsidRPr="00C8397D">
        <w:rPr>
          <w:rFonts w:ascii="Times New Roman" w:hAnsi="Times New Roman"/>
          <w:noProof/>
          <w:color w:val="000000"/>
          <w:spacing w:val="3"/>
          <w:sz w:val="28"/>
          <w:szCs w:val="28"/>
          <w:lang w:val="ru-RU"/>
        </w:rPr>
        <w:t xml:space="preserve"> багатоквартирного житла на 10 000 жителів, а також допоміжна інфраструктура, що включатиме торгово-розважальний центр, готель з конференц-залом, спортивний центр, місця відпочинку для дітей і т.д.</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Відповідно до загальнодоступної інформації, перша черга «Інноваційного парку BIONIC HILL», включаючи офіси та житло загальною площею близько </w:t>
      </w:r>
      <w:smartTag w:uri="urn:schemas-microsoft-com:office:smarttags" w:element="metricconverter">
        <w:smartTagPr>
          <w:attr w:name="ProductID" w:val="100 000 кв. м"/>
        </w:smartTagPr>
        <w:r w:rsidRPr="00C8397D">
          <w:rPr>
            <w:rFonts w:ascii="Times New Roman" w:hAnsi="Times New Roman"/>
            <w:noProof/>
            <w:color w:val="000000"/>
            <w:spacing w:val="3"/>
            <w:sz w:val="28"/>
            <w:szCs w:val="28"/>
            <w:lang w:val="ru-RU"/>
          </w:rPr>
          <w:t>100 000 кв. м</w:t>
        </w:r>
      </w:smartTag>
      <w:r w:rsidRPr="00C8397D">
        <w:rPr>
          <w:rFonts w:ascii="Times New Roman" w:hAnsi="Times New Roman"/>
          <w:noProof/>
          <w:color w:val="000000"/>
          <w:spacing w:val="3"/>
          <w:sz w:val="28"/>
          <w:szCs w:val="28"/>
          <w:lang w:val="ru-RU"/>
        </w:rPr>
        <w:t>, запланована до введення в експлуатацію в 2014 році. Хоча проект був широко представлений на Київському інвестиційному форумі 29 березня 2012 року, станом на червень 2012 року не було ніяких публічних заяв щодо укладення попередніх договорів оренди в ньому, а будівельні роботи на ділянці ще не були розпочаті. Проект здійснюється за фінансової підтримки ВАТ «Сбербанк Росії», а також, як відомо, підтримується Державним агентством з інвестицій та управління національними проектами України та Київською міською державною адміністрацією.</w:t>
      </w:r>
    </w:p>
    <w:p w:rsidR="00192005" w:rsidRPr="00C8397D" w:rsidRDefault="00192005" w:rsidP="00192005">
      <w:pPr>
        <w:widowControl/>
        <w:spacing w:after="0" w:line="360" w:lineRule="auto"/>
        <w:ind w:firstLine="709"/>
        <w:jc w:val="both"/>
        <w:rPr>
          <w:rFonts w:ascii="Times New Roman" w:hAnsi="Times New Roman"/>
          <w:i/>
          <w:noProof/>
          <w:color w:val="000000"/>
          <w:spacing w:val="3"/>
          <w:sz w:val="28"/>
          <w:szCs w:val="28"/>
          <w:lang w:val="ru-RU"/>
        </w:rPr>
      </w:pPr>
      <w:r w:rsidRPr="00C8397D">
        <w:rPr>
          <w:rFonts w:ascii="Times New Roman" w:hAnsi="Times New Roman"/>
          <w:i/>
          <w:noProof/>
          <w:color w:val="000000"/>
          <w:spacing w:val="3"/>
          <w:sz w:val="28"/>
          <w:szCs w:val="28"/>
          <w:lang w:val="ru-RU"/>
        </w:rPr>
        <w:t>Класифікація офісної нерухомості, що застосовується в Києві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Класифікація офісів згідно Американської торгівельної палати (AmCham) та Форум операторів нерухомості була прийнята в березні 2004 року. Ця класифікація була перейнята комітетом з нерухомості Європейської Бізнес Асоціації (EBA) в кінці 2004 року, а на даний момент – і «Українською гільдією ріелтерів».</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lastRenderedPageBreak/>
        <w:t>Багато орендодавців вимагають в агентів або безпосередньо представляють свої будівлі як вищі за класом, ніж той, якому вони відповідають за класифікацією. Тим не менш, хоча поки дана класифікація не є юридично обов'язковою, вона є широко прийнятою як стандарт класифікації, що застосовується в провідних консультантів з нерухомості в Києві. Члени EBA та AmCham, однак, мають супроводжувати подання класу офісу поясненням з формулюванням «згідно класифікації офісів Києва Американської торгівельної палати / EBA».</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Метою класифікації є сприяння інвесторам, орендарям та іншим в оцінці і порівнянні якості приміщень на ринку, а також стимулювання девелоперів у створенні продуманих ефективних площ.</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Досвід показує, що система класифікації офісів є надзвичайно жорсткою в тому, що якщо строго підходити до застосування її вимог, то в Києві фактично відсутні офісні будівлі класу А. В результаті, це призвело до того, що багато агентів і власників приписують своїм приміщенням клас B+. Невизначеність також підсилюється нестачею публічної, докладної специфікацією для багатьох будівель.</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Стандартна класифікація офісних приміщень</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А в центральному діловому районі повинні відповідати 10 першим (обов’язковим) вимогам, включаючи вимогу '1А' (див. нижче), а також повинні відповідати або перевищувати 6 з наступних (не обов’язкових) критеріїв.</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А поза центральним діловим районом повинні відповідати 10 (обов’язковим) вимогам, включаючи вимогу '1B' (див. нижче), а також відповідати або перевищувати 6 з наступних додаткових (не обов’язкових) вимог.</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B повинні відповідати 13 вимогам, мінімум 7 з яких мають бути в перших 10 (обов’язкових) вимогах.</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C повинні відповідати 7 вимогам, не менше 5 з яких повинні бути серед перших 10 (обов’язкових) вимог.</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lastRenderedPageBreak/>
        <w:t>10 «обов’язкових» вимог:</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1А. Розташування в ЦДР (центральний діловий район, що позначений червоною лінією на малюнку нижче), або в престижному місці в рамках інших сформованих районів міста поблизу с транспортними розв'язками.</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1B. Розташування за межами ЦДР, але в престижному місці району та поблизу основних транспортних магістралей міста.</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2. Професійний менеджмент будівлі з прозорою системою бухгалтерського обліку і системою «відкритої книги» для обліку витрат, їх розподілу і відшкодування.</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3. Виділений та легко помітний вхід в офісні приміщення та вестибюль.</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4. Висота стелі не менше </w:t>
      </w:r>
      <w:smartTag w:uri="urn:schemas-microsoft-com:office:smarttags" w:element="metricconverter">
        <w:smartTagPr>
          <w:attr w:name="ProductID" w:val="2,7 м"/>
        </w:smartTagPr>
        <w:r w:rsidRPr="00C8397D">
          <w:rPr>
            <w:rFonts w:ascii="Times New Roman" w:hAnsi="Times New Roman"/>
            <w:noProof/>
            <w:color w:val="000000"/>
            <w:spacing w:val="3"/>
            <w:sz w:val="28"/>
            <w:szCs w:val="28"/>
            <w:lang w:val="ru-RU"/>
          </w:rPr>
          <w:t>2,7 м</w:t>
        </w:r>
      </w:smartTag>
      <w:r w:rsidRPr="00C8397D">
        <w:rPr>
          <w:rFonts w:ascii="Times New Roman" w:hAnsi="Times New Roman"/>
          <w:noProof/>
          <w:color w:val="000000"/>
          <w:spacing w:val="3"/>
          <w:sz w:val="28"/>
          <w:szCs w:val="28"/>
          <w:lang w:val="ru-RU"/>
        </w:rPr>
        <w:t xml:space="preserve"> на не менше ніж 90% від загальної корисної площі.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5. Виділена парковка під охороною (не включаючи стихійну парковку на вулиці) всередині або поряд з будівлею з розрахунку не менш ніж 1 паркувальне місце на </w:t>
      </w:r>
      <w:smartTag w:uri="urn:schemas-microsoft-com:office:smarttags" w:element="metricconverter">
        <w:smartTagPr>
          <w:attr w:name="ProductID" w:val="100 кв. м"/>
        </w:smartTagPr>
        <w:r w:rsidRPr="00C8397D">
          <w:rPr>
            <w:rFonts w:ascii="Times New Roman" w:hAnsi="Times New Roman"/>
            <w:noProof/>
            <w:color w:val="000000"/>
            <w:spacing w:val="3"/>
            <w:sz w:val="28"/>
            <w:szCs w:val="28"/>
            <w:lang w:val="ru-RU"/>
          </w:rPr>
          <w:t>100 кв. м</w:t>
        </w:r>
      </w:smartTag>
      <w:r w:rsidRPr="00C8397D">
        <w:rPr>
          <w:rFonts w:ascii="Times New Roman" w:hAnsi="Times New Roman"/>
          <w:noProof/>
          <w:color w:val="000000"/>
          <w:spacing w:val="3"/>
          <w:sz w:val="28"/>
          <w:szCs w:val="28"/>
          <w:lang w:val="ru-RU"/>
        </w:rPr>
        <w:t xml:space="preserve"> орендованої площі.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6. Енергозабезпечення не менше 50 Вт на </w:t>
      </w:r>
      <w:smartTag w:uri="urn:schemas-microsoft-com:office:smarttags" w:element="metricconverter">
        <w:smartTagPr>
          <w:attr w:name="ProductID" w:val="1 кв. м"/>
        </w:smartTagPr>
        <w:r w:rsidRPr="00C8397D">
          <w:rPr>
            <w:rFonts w:ascii="Times New Roman" w:hAnsi="Times New Roman"/>
            <w:noProof/>
            <w:color w:val="000000"/>
            <w:spacing w:val="3"/>
            <w:sz w:val="28"/>
            <w:szCs w:val="28"/>
            <w:lang w:val="ru-RU"/>
          </w:rPr>
          <w:t>1 кв. м</w:t>
        </w:r>
      </w:smartTag>
      <w:r w:rsidRPr="00C8397D">
        <w:rPr>
          <w:rFonts w:ascii="Times New Roman" w:hAnsi="Times New Roman"/>
          <w:noProof/>
          <w:color w:val="000000"/>
          <w:spacing w:val="3"/>
          <w:sz w:val="28"/>
          <w:szCs w:val="28"/>
          <w:lang w:val="ru-RU"/>
        </w:rPr>
        <w:t xml:space="preserve"> орендованої площі при повному освітленні і підключеному устаткуванні, забезпеченому або електропостачанням по I категорії, або за допомогою дизель-генератора.</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7. Система теплопостачання, вентиляції та кондиціонування: принаймні 2-трубна (1 контур), з окремим для кожного орендаря контролем температури, і забезпечує чотирикратний повітрообмін в офісах на годину.</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8. Відкрите планування площ з сіткою колон, що забезпечує гнучке перепланування.</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9. Оптоволоконні цифрові телефонні лінії, ISDN, і інтернет послуги в будівлі.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10. Відшкодовуваний коефіцієнт втрат не вище 12%.</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Додаткові вимоги:</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 Передній фасад (помітне фронтальне розташування на вулиці).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lastRenderedPageBreak/>
        <w:t xml:space="preserve">2. Раціональне відстань між вікнами, де не менше 95% використовуваних площ знаходяться в </w:t>
      </w:r>
      <w:smartTag w:uri="urn:schemas-microsoft-com:office:smarttags" w:element="metricconverter">
        <w:smartTagPr>
          <w:attr w:name="ProductID" w:val="10 м"/>
        </w:smartTagPr>
        <w:r w:rsidRPr="00C8397D">
          <w:rPr>
            <w:rFonts w:ascii="Times New Roman" w:hAnsi="Times New Roman"/>
            <w:noProof/>
            <w:color w:val="000000"/>
            <w:spacing w:val="3"/>
            <w:sz w:val="28"/>
            <w:szCs w:val="28"/>
            <w:lang w:val="ru-RU"/>
          </w:rPr>
          <w:t>10 м</w:t>
        </w:r>
      </w:smartTag>
      <w:r w:rsidRPr="00C8397D">
        <w:rPr>
          <w:rFonts w:ascii="Times New Roman" w:hAnsi="Times New Roman"/>
          <w:noProof/>
          <w:color w:val="000000"/>
          <w:spacing w:val="3"/>
          <w:sz w:val="28"/>
          <w:szCs w:val="28"/>
          <w:lang w:val="ru-RU"/>
        </w:rPr>
        <w:t xml:space="preserve"> від джерела природного освітлення (тобто вікна або атріуму).</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3. Мінімальна площа поверху - </w:t>
      </w:r>
      <w:smartTag w:uri="urn:schemas-microsoft-com:office:smarttags" w:element="metricconverter">
        <w:smartTagPr>
          <w:attr w:name="ProductID" w:val="500 кв. м"/>
        </w:smartTagPr>
        <w:r w:rsidRPr="00C8397D">
          <w:rPr>
            <w:rFonts w:ascii="Times New Roman" w:hAnsi="Times New Roman"/>
            <w:noProof/>
            <w:color w:val="000000"/>
            <w:spacing w:val="3"/>
            <w:sz w:val="28"/>
            <w:szCs w:val="28"/>
            <w:lang w:val="ru-RU"/>
          </w:rPr>
          <w:t>500 кв. м</w:t>
        </w:r>
      </w:smartTag>
      <w:r w:rsidRPr="00C8397D">
        <w:rPr>
          <w:rFonts w:ascii="Times New Roman" w:hAnsi="Times New Roman"/>
          <w:noProof/>
          <w:color w:val="000000"/>
          <w:spacing w:val="3"/>
          <w:sz w:val="28"/>
          <w:szCs w:val="28"/>
          <w:lang w:val="ru-RU"/>
        </w:rPr>
        <w:t>.</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4. Середня відстань між зовнішньою стіною і внутрішньою межею використовуваних площ не повинна перевищувати </w:t>
      </w:r>
      <w:smartTag w:uri="urn:schemas-microsoft-com:office:smarttags" w:element="metricconverter">
        <w:smartTagPr>
          <w:attr w:name="ProductID" w:val="10 м"/>
        </w:smartTagPr>
        <w:r w:rsidRPr="00C8397D">
          <w:rPr>
            <w:rFonts w:ascii="Times New Roman" w:hAnsi="Times New Roman"/>
            <w:noProof/>
            <w:color w:val="000000"/>
            <w:spacing w:val="3"/>
            <w:sz w:val="28"/>
            <w:szCs w:val="28"/>
            <w:lang w:val="ru-RU"/>
          </w:rPr>
          <w:t>10 м</w:t>
        </w:r>
      </w:smartTag>
      <w:r w:rsidRPr="00C8397D">
        <w:rPr>
          <w:rFonts w:ascii="Times New Roman" w:hAnsi="Times New Roman"/>
          <w:noProof/>
          <w:color w:val="000000"/>
          <w:spacing w:val="3"/>
          <w:sz w:val="28"/>
          <w:szCs w:val="28"/>
          <w:lang w:val="ru-RU"/>
        </w:rPr>
        <w:t>.</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5. Забезпечення підключення комунікаційних систем в будь-якому місці завдяки фальш-підлозі, комунікаційним каналам під підлогою або коробам по периметру приміщень.</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6. Середній час очікування ліфта в години пік не довше 30 секунд (з моменту виклику).</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7. Прийнятно близька відстань до станції метро, зупинки тролейбуса чи автобуса.</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8. Кафетерій (їдальня) для співробітників в будівлі або недороге кафе або ресторан в межах пішохідної доступності.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9. Допустиме навантаження на підлогу - </w:t>
      </w:r>
      <w:smartTag w:uri="urn:schemas-microsoft-com:office:smarttags" w:element="metricconverter">
        <w:smartTagPr>
          <w:attr w:name="ProductID" w:val="450 кг"/>
        </w:smartTagPr>
        <w:r w:rsidRPr="00C8397D">
          <w:rPr>
            <w:rFonts w:ascii="Times New Roman" w:hAnsi="Times New Roman"/>
            <w:noProof/>
            <w:color w:val="000000"/>
            <w:spacing w:val="3"/>
            <w:sz w:val="28"/>
            <w:szCs w:val="28"/>
            <w:lang w:val="ru-RU"/>
          </w:rPr>
          <w:t>450 кг</w:t>
        </w:r>
      </w:smartTag>
      <w:r w:rsidRPr="00C8397D">
        <w:rPr>
          <w:rFonts w:ascii="Times New Roman" w:hAnsi="Times New Roman"/>
          <w:noProof/>
          <w:color w:val="000000"/>
          <w:spacing w:val="3"/>
          <w:sz w:val="28"/>
          <w:szCs w:val="28"/>
          <w:lang w:val="ru-RU"/>
        </w:rPr>
        <w:t xml:space="preserve"> на кв. м.</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10. Освітлення офісів 400+ люкс на висоті робочої поверхні.</w:t>
      </w:r>
    </w:p>
    <w:p w:rsidR="00192005" w:rsidRPr="00C8397D" w:rsidRDefault="00192005" w:rsidP="00192005">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В даний час Київський дослідницький форум, до якого входять основні міжнародні консультанти з нерухомості в Україну, працює над переглядом існуючої класифікації офісів з метою її поліпшення, так, щоб вона стала більш практичною і краще задовольняла потреби орендарів офісної нерухомості, інвесторів і девелоперів в українській столиці.</w:t>
      </w:r>
    </w:p>
    <w:p w:rsidR="00192005" w:rsidRPr="00C8397D" w:rsidRDefault="00192005" w:rsidP="00192005">
      <w:pPr>
        <w:widowControl/>
        <w:spacing w:after="0" w:line="360" w:lineRule="auto"/>
        <w:ind w:firstLine="709"/>
        <w:jc w:val="center"/>
        <w:rPr>
          <w:rFonts w:ascii="Times New Roman" w:hAnsi="Times New Roman"/>
          <w:noProof/>
          <w:color w:val="000000"/>
          <w:spacing w:val="3"/>
          <w:sz w:val="28"/>
          <w:szCs w:val="28"/>
          <w:lang w:val="ru-RU"/>
        </w:rPr>
      </w:pPr>
      <w:r>
        <w:rPr>
          <w:rFonts w:ascii="Times New Roman" w:hAnsi="Times New Roman"/>
          <w:noProof/>
          <w:sz w:val="28"/>
          <w:szCs w:val="28"/>
          <w:lang w:val="ru-RU" w:eastAsia="ru-RU"/>
        </w:rPr>
        <w:lastRenderedPageBreak/>
        <w:drawing>
          <wp:inline distT="0" distB="0" distL="0" distR="0">
            <wp:extent cx="4513580" cy="4766310"/>
            <wp:effectExtent l="0" t="0" r="127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55963" t="19356" r="11333" b="18971"/>
                    <a:stretch>
                      <a:fillRect/>
                    </a:stretch>
                  </pic:blipFill>
                  <pic:spPr bwMode="auto">
                    <a:xfrm>
                      <a:off x="0" y="0"/>
                      <a:ext cx="4513580" cy="4766310"/>
                    </a:xfrm>
                    <a:prstGeom prst="rect">
                      <a:avLst/>
                    </a:prstGeom>
                    <a:noFill/>
                    <a:ln>
                      <a:noFill/>
                    </a:ln>
                  </pic:spPr>
                </pic:pic>
              </a:graphicData>
            </a:graphic>
          </wp:inline>
        </w:drawing>
      </w:r>
    </w:p>
    <w:p w:rsidR="00192005" w:rsidRPr="00C8397D" w:rsidRDefault="00192005" w:rsidP="00192005">
      <w:pPr>
        <w:widowControl/>
        <w:spacing w:after="0" w:line="360" w:lineRule="auto"/>
        <w:ind w:firstLine="709"/>
        <w:jc w:val="center"/>
        <w:rPr>
          <w:rFonts w:ascii="Times New Roman" w:hAnsi="Times New Roman"/>
          <w:sz w:val="28"/>
          <w:szCs w:val="28"/>
          <w:lang w:val="ru-RU"/>
        </w:rPr>
      </w:pPr>
      <w:r w:rsidRPr="00C8397D">
        <w:rPr>
          <w:rFonts w:ascii="Times New Roman" w:hAnsi="Times New Roman"/>
          <w:noProof/>
          <w:color w:val="000000"/>
          <w:spacing w:val="3"/>
          <w:sz w:val="28"/>
          <w:szCs w:val="28"/>
          <w:highlight w:val="yellow"/>
          <w:lang w:val="ru-RU"/>
        </w:rPr>
        <w:t>Рисунок 4.3.1.1</w:t>
      </w:r>
      <w:r w:rsidRPr="00C8397D">
        <w:rPr>
          <w:rFonts w:ascii="Times New Roman" w:hAnsi="Times New Roman"/>
          <w:noProof/>
          <w:color w:val="000000"/>
          <w:spacing w:val="3"/>
          <w:sz w:val="28"/>
          <w:szCs w:val="28"/>
          <w:lang w:val="ru-RU"/>
        </w:rPr>
        <w:t xml:space="preserve"> – Межі центрального ділового району в Києві</w:t>
      </w:r>
    </w:p>
    <w:p w:rsidR="00192005" w:rsidRPr="00C8397D" w:rsidRDefault="00192005" w:rsidP="00192005">
      <w:pPr>
        <w:tabs>
          <w:tab w:val="left" w:pos="1185"/>
        </w:tabs>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Ринок офісної нерухомості Києва у порівнянні до інших столиць країн Центральної та Східної Європи</w:t>
      </w:r>
    </w:p>
    <w:p w:rsidR="00192005" w:rsidRPr="00C8397D" w:rsidRDefault="00192005" w:rsidP="00192005">
      <w:pPr>
        <w:tabs>
          <w:tab w:val="left" w:pos="118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Як зазначено раніше у цьому звіті, станом на кінець березня 2012 року спекулятивна пропозиція офісних приміщень склала близько 1 276 635 кв.м (GLA *загальна орендована площа) за виключенням будівель державних установ та офісів побудованих для власних потреб компаній.</w:t>
      </w:r>
    </w:p>
    <w:p w:rsidR="00192005" w:rsidRPr="00C8397D" w:rsidRDefault="00192005" w:rsidP="00192005">
      <w:pPr>
        <w:tabs>
          <w:tab w:val="left" w:pos="118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2001 року, пропозиція новозбудованих офісних приміщень в Києві склала близько 158 000 кв.м (GLA), що майже вдвічі більше ніж було побудовано у 2010 році. Тим не менше, ринок офісної нерухомості Києва залишається структурно ненасиченим у порівнянні до столиць країн центральної та східної Європи, зважаючи на загальний обсяг офісних приміщень, а також різновидність форматів та якості приміщень, що пропонуються в оренду.</w:t>
      </w:r>
    </w:p>
    <w:p w:rsidR="00192005" w:rsidRPr="00C8397D" w:rsidRDefault="00192005" w:rsidP="00192005">
      <w:pPr>
        <w:tabs>
          <w:tab w:val="left" w:pos="118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Таким чином, на початку 2012 року загальний обсяг офісних приміщень у столиці України склав близько 35% ринку офісної нерухомості в Варшаві (Польща), 45% в Празі (Чеська Республіка), 40% в Бухаресті (Угорщина) і лише 11% ринку офісної нерухомості в Москві (Росія).</w:t>
      </w:r>
    </w:p>
    <w:p w:rsidR="00192005" w:rsidRPr="00C8397D" w:rsidRDefault="00192005" w:rsidP="00192005">
      <w:pPr>
        <w:tabs>
          <w:tab w:val="left" w:pos="1185"/>
        </w:tabs>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4688840" cy="261683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54103" t="40767" r="19803" b="33656"/>
                    <a:stretch>
                      <a:fillRect/>
                    </a:stretch>
                  </pic:blipFill>
                  <pic:spPr bwMode="auto">
                    <a:xfrm>
                      <a:off x="0" y="0"/>
                      <a:ext cx="4688840" cy="2616835"/>
                    </a:xfrm>
                    <a:prstGeom prst="rect">
                      <a:avLst/>
                    </a:prstGeom>
                    <a:noFill/>
                    <a:ln>
                      <a:noFill/>
                    </a:ln>
                  </pic:spPr>
                </pic:pic>
              </a:graphicData>
            </a:graphic>
          </wp:inline>
        </w:drawing>
      </w:r>
    </w:p>
    <w:p w:rsidR="00192005" w:rsidRPr="00C8397D" w:rsidRDefault="00192005" w:rsidP="00192005">
      <w:pPr>
        <w:tabs>
          <w:tab w:val="left" w:pos="1185"/>
        </w:tabs>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sz w:val="28"/>
          <w:szCs w:val="28"/>
          <w:highlight w:val="yellow"/>
          <w:lang w:val="ru-RU"/>
        </w:rPr>
        <w:t>Графік 4.3.1.3</w:t>
      </w:r>
      <w:r w:rsidRPr="00C8397D">
        <w:rPr>
          <w:rFonts w:ascii="Times New Roman" w:hAnsi="Times New Roman"/>
          <w:sz w:val="28"/>
          <w:szCs w:val="28"/>
          <w:lang w:val="ru-RU"/>
        </w:rPr>
        <w:t xml:space="preserve"> - Загальний обсяг офісних приміщень Києва у порівнянні до країн центральної та східної Європи</w:t>
      </w:r>
    </w:p>
    <w:p w:rsidR="00192005" w:rsidRPr="00C8397D" w:rsidRDefault="00192005" w:rsidP="00192005">
      <w:pPr>
        <w:spacing w:after="0" w:line="360" w:lineRule="auto"/>
        <w:ind w:firstLine="709"/>
        <w:jc w:val="center"/>
        <w:rPr>
          <w:rFonts w:ascii="Times New Roman" w:hAnsi="Times New Roman"/>
          <w:noProof/>
          <w:color w:val="000000"/>
          <w:spacing w:val="2"/>
          <w:sz w:val="28"/>
          <w:szCs w:val="28"/>
          <w:lang w:val="ru-RU"/>
        </w:rPr>
      </w:pPr>
      <w:r>
        <w:rPr>
          <w:rFonts w:ascii="Times New Roman" w:hAnsi="Times New Roman"/>
          <w:noProof/>
          <w:color w:val="000000"/>
          <w:spacing w:val="2"/>
          <w:sz w:val="28"/>
          <w:szCs w:val="28"/>
          <w:lang w:val="ru-RU" w:eastAsia="ru-RU"/>
        </w:rPr>
        <w:drawing>
          <wp:inline distT="0" distB="0" distL="0" distR="0">
            <wp:extent cx="3667125" cy="2324735"/>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l="27313" t="34116" r="48436" b="38474"/>
                    <a:stretch>
                      <a:fillRect/>
                    </a:stretch>
                  </pic:blipFill>
                  <pic:spPr bwMode="auto">
                    <a:xfrm>
                      <a:off x="0" y="0"/>
                      <a:ext cx="3667125" cy="2324735"/>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highlight w:val="yellow"/>
          <w:lang w:val="ru-RU"/>
        </w:rPr>
        <w:t>Графік 4.3.1.4</w:t>
      </w:r>
      <w:r w:rsidRPr="00C8397D">
        <w:rPr>
          <w:rFonts w:ascii="Times New Roman" w:hAnsi="Times New Roman"/>
          <w:noProof/>
          <w:color w:val="000000"/>
          <w:spacing w:val="2"/>
          <w:sz w:val="28"/>
          <w:szCs w:val="28"/>
          <w:lang w:val="ru-RU"/>
        </w:rPr>
        <w:t xml:space="preserve"> - Загальний обсяг офісних приміщень Києва на душу населення у порівнянні до країн центральної та східної Європи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4.3.1.4</w:t>
      </w:r>
      <w:r w:rsidRPr="00C8397D">
        <w:rPr>
          <w:rFonts w:ascii="Times New Roman" w:hAnsi="Times New Roman"/>
          <w:sz w:val="28"/>
          <w:szCs w:val="28"/>
          <w:lang w:val="ru-RU"/>
        </w:rPr>
        <w:t xml:space="preserve"> - Офісні приміщення та населення Києва і інших столиць країн центральної та східної Європи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5"/>
        <w:gridCol w:w="983"/>
        <w:gridCol w:w="983"/>
        <w:gridCol w:w="983"/>
        <w:gridCol w:w="983"/>
        <w:gridCol w:w="983"/>
        <w:gridCol w:w="983"/>
        <w:gridCol w:w="1093"/>
        <w:gridCol w:w="1085"/>
      </w:tblGrid>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Показники</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2011</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Угорщина</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Загальне населення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10098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10077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10066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10045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10031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9986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9960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Будапешту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1702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1734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1743*</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Будапешту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1471865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1539991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1729602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1855900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2108122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2392114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3073717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3158889</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приміщень на душу населення в Будапешті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0,87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0,91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1,81</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Будапешту (%)</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11,63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12,83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12,22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19,20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w:t>
            </w:r>
            <w:r w:rsidRPr="00C8397D">
              <w:rPr>
                <w:rFonts w:ascii="Times New Roman" w:hAnsi="Times New Roman"/>
                <w:sz w:val="28"/>
                <w:szCs w:val="28"/>
                <w:lang w:val="ru-RU"/>
              </w:rPr>
              <w:lastRenderedPageBreak/>
              <w:t xml:space="preserve">офісних </w:t>
            </w:r>
            <w:r w:rsidRPr="00C8397D">
              <w:rPr>
                <w:rFonts w:ascii="Times New Roman" w:hAnsi="Times New Roman"/>
                <w:sz w:val="28"/>
                <w:szCs w:val="28"/>
                <w:lang w:val="uk-UA"/>
              </w:rPr>
              <w:t>приміщень (дол. США / кв. 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19,10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Польща</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38174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38157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38125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38136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38167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38200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38218*</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Варшави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1714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Варшави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2253807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2374008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2557136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2707819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2978904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3248197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3428029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3597001</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приміщень на душу населення в Варшаві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2,09</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Варшави (%)</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8,17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5,37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7,34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7,18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6,68</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25,30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43,60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41,60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33,80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32,30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36,60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Чешська Республіка</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10221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10251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10287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10381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10468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10507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10533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10549*</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Праги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1171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1182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1188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1233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1249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1263*</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Праги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1660000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1837000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1981287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2182285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2511228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2691036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2697850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2800007</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приміщень на душу населення в Празі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2,22</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w:t>
            </w:r>
            <w:r w:rsidRPr="00C8397D">
              <w:rPr>
                <w:rFonts w:ascii="Times New Roman" w:hAnsi="Times New Roman"/>
                <w:sz w:val="28"/>
                <w:szCs w:val="28"/>
                <w:lang w:val="ru-RU"/>
              </w:rPr>
              <w:lastRenderedPageBreak/>
              <w:t>сть офісних приміщень Праги (%)</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15,07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12,95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5,77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8,96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11,91</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31,90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28,30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Російська Федерація</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143474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142754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142221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142009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141904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141915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142865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143030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Москви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10407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10425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10443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10509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10563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11541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11629</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Мосвки(кв.м)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3800000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4360000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5260000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6430000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7935000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9195000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10930000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11545505</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w:t>
            </w:r>
            <w:r w:rsidRPr="00C8397D">
              <w:rPr>
                <w:rFonts w:ascii="Times New Roman" w:hAnsi="Times New Roman"/>
                <w:sz w:val="28"/>
                <w:szCs w:val="28"/>
                <w:lang w:val="ru-RU"/>
              </w:rPr>
              <w:lastRenderedPageBreak/>
              <w:t>ь на душу населення в Москві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0,37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0,42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0,61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0,76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0,87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0,95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0,99</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lastRenderedPageBreak/>
              <w:t>Незайнятість офісних приміщень Москви (%)</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18,40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13,54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12,05</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49,00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54,00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108,30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47281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46930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46646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46373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46144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45963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45779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45544</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Києва (тис.)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2666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2693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2718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2740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2766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2785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2799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2813</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Києва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363410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478650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560500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741400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916510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1040370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1118695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1276635</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Коефіцієнт офісних приміщень на душу населення в Києві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0,14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0,18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0,21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0,27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0,33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0,37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0,40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0,45</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Києва (%)</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17,60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15,80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72,00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80,00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41,00</w:t>
            </w:r>
          </w:p>
        </w:tc>
      </w:tr>
    </w:tbl>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Джерело: Державний Комітет статистики України, Eurostat, Офіс Статистики Чехії, Центральний офіс статистики Угорщини, Central Центральний офіс статистики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Примітка: Усі дані представлені станом на кінець року. </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Незважаючи на те, що орендні ставки Варшави, Будапешту та Праги як правило зазначають у Євро, для цілей аналізу приведеного у даному розділі звіту ставки оренди були переведені у Долари США.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Попередні дані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Беручи до уваги масштаби України та її населення, а також офіційні </w:t>
      </w:r>
      <w:r w:rsidRPr="00C8397D">
        <w:rPr>
          <w:rFonts w:ascii="Times New Roman" w:hAnsi="Times New Roman"/>
          <w:noProof/>
          <w:color w:val="000000"/>
          <w:position w:val="2"/>
          <w:sz w:val="28"/>
          <w:szCs w:val="28"/>
          <w:lang w:val="ru-RU"/>
        </w:rPr>
        <w:lastRenderedPageBreak/>
        <w:t>дані статистики щодо населення української столиці, пропозиція на ринку офісної нерухомості в Києві залишається низькою. Спрощений підхід демонструє, що коефіцієнт загальної кількості офісних приміщень на душу населення у Києві, що був розрахований для цілей даного звіту, становить 0,45 станом на січень 2012 р., виступаючи найменшим серед інших столиць країн Центральної та Східної Європи та Москви. Звертаємо увагу на те, що показник обсягу офісних приміщень на душу населення ґрунтується на даних про кількість професійних офісних центрів, уведених до експлуатації у після радянський період.</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Як показано у таблиці вище, показники обсягу офісних приміщень на душу населення у найбільших розвинених ринках регіону Центральної та Східної Європи, таких як Варшава, Будапешт та Прага, наближаються до рівня 1,8-2. Попри те, що динаміка ринку офісної нерухомості в цих містах країн Центральної та Східної Європи дещо деформувалась під негативним впливом фінансової кризи, спостерігається мінімальний рівень незайнятості та максимальні ставки оренди на приміщення високого класу у таких містах як Варшава і Прага, тоді як показних офісних приміщень був на рівні 1,8 у цих містах, а у Будапешті - на рівні приблизно 1,1.</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Отже, можна припустити, що показник площі офісних приміщень на рівні 1 кв.м на душу населення вважається за "нормальний та безпечний" для столиць країн Центральної та Східної Європи, і виходячи суто з показників на душу населення, можна заключити, що, ceteris paribus за нормальних ринкових умов, на початок 2012 р., загальна площа сучасних офісних приміщень у Києві може бути достатньою на рівні близько 2,8 мільйонів кв. м (беручі до уваги офіційні дані загальної кількості населення). Тим не менше, очевидно, що враховуючи економічну та інституційну ситуацію на Україні, її геополітичну роль та інвестиційну привабливість, фактичний рівень обсягу приміщень в Києві буде значно нижчим, ніж для порівнюваних столиць країн Центральної та Східної Європи. Крім того, у рамках будь-якої моделі розрахунків слід приймати до на уваги економічний спад, що зараз </w:t>
      </w:r>
      <w:r w:rsidRPr="00C8397D">
        <w:rPr>
          <w:rFonts w:ascii="Times New Roman" w:hAnsi="Times New Roman"/>
          <w:noProof/>
          <w:color w:val="000000"/>
          <w:position w:val="2"/>
          <w:sz w:val="28"/>
          <w:szCs w:val="28"/>
          <w:lang w:val="ru-RU"/>
        </w:rPr>
        <w:lastRenderedPageBreak/>
        <w:t>спостерігається.</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Оскільки близько </w:t>
      </w:r>
      <w:smartTag w:uri="urn:schemas-microsoft-com:office:smarttags" w:element="metricconverter">
        <w:smartTagPr>
          <w:attr w:name="ProductID" w:val="305 000 кв. м"/>
        </w:smartTagPr>
        <w:r w:rsidRPr="00C8397D">
          <w:rPr>
            <w:rFonts w:ascii="Times New Roman" w:hAnsi="Times New Roman"/>
            <w:noProof/>
            <w:color w:val="000000"/>
            <w:position w:val="2"/>
            <w:sz w:val="28"/>
            <w:szCs w:val="28"/>
            <w:lang w:val="ru-RU"/>
          </w:rPr>
          <w:t>305 000 кв. м</w:t>
        </w:r>
      </w:smartTag>
      <w:r w:rsidRPr="00C8397D">
        <w:rPr>
          <w:rFonts w:ascii="Times New Roman" w:hAnsi="Times New Roman"/>
          <w:noProof/>
          <w:color w:val="000000"/>
          <w:position w:val="2"/>
          <w:sz w:val="28"/>
          <w:szCs w:val="28"/>
          <w:lang w:val="ru-RU"/>
        </w:rPr>
        <w:t xml:space="preserve"> (GLA) офісних приміщень заявлено до вводу до експлуатації в Києві впродовж наступних 12 місяців, загальних обсяг офісних приміщень досягне лише </w:t>
      </w:r>
      <w:smartTag w:uri="urn:schemas-microsoft-com:office:smarttags" w:element="metricconverter">
        <w:smartTagPr>
          <w:attr w:name="ProductID" w:val="1 580 000 кв. м"/>
        </w:smartTagPr>
        <w:r w:rsidRPr="00C8397D">
          <w:rPr>
            <w:rFonts w:ascii="Times New Roman" w:hAnsi="Times New Roman"/>
            <w:noProof/>
            <w:color w:val="000000"/>
            <w:position w:val="2"/>
            <w:sz w:val="28"/>
            <w:szCs w:val="28"/>
            <w:lang w:val="ru-RU"/>
          </w:rPr>
          <w:t>1 580 000 кв. м</w:t>
        </w:r>
      </w:smartTag>
      <w:r w:rsidRPr="00C8397D">
        <w:rPr>
          <w:rFonts w:ascii="Times New Roman" w:hAnsi="Times New Roman"/>
          <w:noProof/>
          <w:color w:val="000000"/>
          <w:position w:val="2"/>
          <w:sz w:val="28"/>
          <w:szCs w:val="28"/>
          <w:lang w:val="ru-RU"/>
        </w:rPr>
        <w:t>. Крім того, значна кількість існуючих офісних приміщень української столиці представляє собою другорядні офіси, утворені на базі колишніх адміністративних будівель промислових зон.</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Нижченаведена інформація демонструє площі офісних приміщень, орендованих деякими великими регіональними / міжнародними компаніями на "напіврозвинених" ринках нерухомості в столицях інших країн Центральної та Східної Європи та в Києві.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Звертаємо увагу на те, що інформація в таблиці наведена станом на 3 квартал 2008 року, і не враховує нещодавніх змін в потребах орендарів під впливом економічної кризи.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Таблиця 4.3.1.5</w:t>
      </w:r>
      <w:r w:rsidRPr="00C8397D">
        <w:rPr>
          <w:rFonts w:ascii="Times New Roman" w:hAnsi="Times New Roman"/>
          <w:noProof/>
          <w:color w:val="000000"/>
          <w:position w:val="2"/>
          <w:sz w:val="28"/>
          <w:szCs w:val="28"/>
          <w:lang w:val="ru-RU"/>
        </w:rPr>
        <w:t xml:space="preserve"> - Площі, зайняті міжнародними компаніями в Києві та столицях деяких країн Центральної та Східної Європи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1945"/>
        <w:gridCol w:w="834"/>
        <w:gridCol w:w="1101"/>
        <w:gridCol w:w="1239"/>
        <w:gridCol w:w="971"/>
        <w:gridCol w:w="1345"/>
      </w:tblGrid>
      <w:tr w:rsidR="00192005" w:rsidRPr="00C8397D" w:rsidTr="00BA5963">
        <w:tc>
          <w:tcPr>
            <w:tcW w:w="2808" w:type="dxa"/>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Орендар</w:t>
            </w:r>
          </w:p>
        </w:tc>
        <w:tc>
          <w:tcPr>
            <w:tcW w:w="2752" w:type="dxa"/>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Сфера діяльності</w:t>
            </w:r>
          </w:p>
        </w:tc>
        <w:tc>
          <w:tcPr>
            <w:tcW w:w="0" w:type="auto"/>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Київ</w:t>
            </w:r>
          </w:p>
        </w:tc>
        <w:tc>
          <w:tcPr>
            <w:tcW w:w="0" w:type="auto"/>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Москва</w:t>
            </w:r>
          </w:p>
        </w:tc>
        <w:tc>
          <w:tcPr>
            <w:tcW w:w="0" w:type="auto"/>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Варшава</w:t>
            </w:r>
          </w:p>
        </w:tc>
        <w:tc>
          <w:tcPr>
            <w:tcW w:w="0" w:type="auto"/>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Прага</w:t>
            </w:r>
          </w:p>
        </w:tc>
        <w:tc>
          <w:tcPr>
            <w:tcW w:w="0" w:type="auto"/>
          </w:tcPr>
          <w:p w:rsidR="00192005" w:rsidRPr="00C8397D" w:rsidRDefault="00192005"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Будапешт</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rPr>
              <w:t>Procter</w:t>
            </w:r>
            <w:r w:rsidRPr="00C8397D">
              <w:rPr>
                <w:rFonts w:ascii="Times New Roman" w:hAnsi="Times New Roman"/>
                <w:noProof/>
                <w:color w:val="000000"/>
                <w:position w:val="2"/>
                <w:sz w:val="28"/>
                <w:szCs w:val="28"/>
                <w:lang w:val="ru-RU"/>
              </w:rPr>
              <w:t>&amp;</w:t>
            </w:r>
            <w:r w:rsidRPr="00C8397D">
              <w:rPr>
                <w:rFonts w:ascii="Times New Roman" w:hAnsi="Times New Roman"/>
                <w:noProof/>
                <w:color w:val="000000"/>
                <w:position w:val="2"/>
                <w:sz w:val="28"/>
                <w:szCs w:val="28"/>
              </w:rPr>
              <w:t>Gambel</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tabs>
                <w:tab w:val="left" w:pos="705"/>
              </w:tabs>
              <w:spacing w:after="0" w:line="360" w:lineRule="auto"/>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3,843</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8,050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4,200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5,200</w:t>
            </w:r>
            <w:r w:rsidRPr="00C8397D">
              <w:rPr>
                <w:rFonts w:ascii="Times New Roman" w:hAnsi="Times New Roman"/>
                <w:noProof/>
                <w:color w:val="000000"/>
                <w:position w:val="2"/>
                <w:sz w:val="28"/>
                <w:szCs w:val="28"/>
                <w:lang w:val="ru-RU"/>
              </w:rPr>
              <w:br/>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Unilever</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ru-RU"/>
              </w:rPr>
              <w:t>700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b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b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6,000</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br/>
              <w:t>1:9</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3,500</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br/>
              <w:t>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9,300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1:13</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uk-UA"/>
              </w:rPr>
            </w:pPr>
            <w:r w:rsidRPr="00C8397D">
              <w:rPr>
                <w:rFonts w:ascii="Times New Roman" w:hAnsi="Times New Roman"/>
                <w:noProof/>
                <w:color w:val="000000"/>
                <w:position w:val="2"/>
                <w:sz w:val="28"/>
                <w:szCs w:val="28"/>
              </w:rPr>
              <w:t>BAT</w:t>
            </w:r>
            <w:r w:rsidRPr="00C8397D">
              <w:rPr>
                <w:rFonts w:ascii="Times New Roman" w:hAnsi="Times New Roman"/>
                <w:noProof/>
                <w:color w:val="000000"/>
                <w:position w:val="2"/>
                <w:sz w:val="28"/>
                <w:szCs w:val="28"/>
                <w:lang w:val="uk-UA"/>
              </w:rPr>
              <w:b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lang w:val="uk-UA"/>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2,017</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2,000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7,009</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3,500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uk-UA"/>
              </w:rPr>
            </w:pPr>
            <w:r w:rsidRPr="00C8397D">
              <w:rPr>
                <w:rFonts w:ascii="Times New Roman" w:hAnsi="Times New Roman"/>
                <w:noProof/>
                <w:color w:val="000000"/>
                <w:position w:val="2"/>
                <w:sz w:val="28"/>
                <w:szCs w:val="28"/>
              </w:rPr>
              <w:t>Kraft</w:t>
            </w:r>
            <w:r w:rsidRPr="00C8397D">
              <w:rPr>
                <w:rFonts w:ascii="Times New Roman" w:hAnsi="Times New Roman"/>
                <w:noProof/>
                <w:color w:val="000000"/>
                <w:position w:val="2"/>
                <w:sz w:val="28"/>
                <w:szCs w:val="28"/>
                <w:lang w:val="uk-UA"/>
              </w:rPr>
              <w:t xml:space="preserve"> </w:t>
            </w:r>
            <w:r w:rsidRPr="00C8397D">
              <w:rPr>
                <w:rFonts w:ascii="Times New Roman" w:hAnsi="Times New Roman"/>
                <w:noProof/>
                <w:color w:val="000000"/>
                <w:position w:val="2"/>
                <w:sz w:val="28"/>
                <w:szCs w:val="28"/>
              </w:rPr>
              <w:t>Foods</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lastRenderedPageBreak/>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lastRenderedPageBreak/>
              <w:t xml:space="preserve">Товари </w:t>
            </w:r>
            <w:r w:rsidRPr="00C8397D">
              <w:rPr>
                <w:rFonts w:ascii="Times New Roman" w:hAnsi="Times New Roman"/>
                <w:noProof/>
                <w:color w:val="000000"/>
                <w:position w:val="2"/>
                <w:sz w:val="28"/>
                <w:szCs w:val="28"/>
                <w:lang w:val="uk-UA"/>
              </w:rPr>
              <w:lastRenderedPageBreak/>
              <w:t>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1,80</w:t>
            </w:r>
            <w:r w:rsidRPr="00C8397D">
              <w:rPr>
                <w:rFonts w:ascii="Times New Roman" w:hAnsi="Times New Roman"/>
                <w:noProof/>
                <w:color w:val="000000"/>
                <w:position w:val="2"/>
                <w:sz w:val="28"/>
                <w:szCs w:val="28"/>
                <w:lang w:val="ru-RU"/>
              </w:rPr>
              <w:lastRenderedPageBreak/>
              <w:t>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2,620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1,716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1,660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1,509</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Philip</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Mornis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3,010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1,340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1,465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Master</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Foods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599</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Colgate</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Palmolive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2,700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PepsiCo</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1,661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Danone</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1:28</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512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Nestle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3,171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IVAX</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Фармація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284</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1,936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Glaxo</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Smith</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Kline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lastRenderedPageBreak/>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lastRenderedPageBreak/>
              <w:t>Фармація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lastRenderedPageBreak/>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5,500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2,500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Aventis</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Pharma</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Int</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Фармація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432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4,720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Siemens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2,282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IBM</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325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6,386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7,900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1:24</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Ericsson</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1,427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7,675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10,081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1:6</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12,160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Sony</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796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480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Samsung</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2,912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2,145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2,6:1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480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1,590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Exxon</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Mobile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Хімія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3,340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1,854</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2,235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9,986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Panasonic</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w:t>
            </w:r>
            <w:r w:rsidRPr="00C8397D">
              <w:rPr>
                <w:rFonts w:ascii="Times New Roman" w:hAnsi="Times New Roman"/>
                <w:noProof/>
                <w:color w:val="000000"/>
                <w:position w:val="2"/>
                <w:sz w:val="28"/>
                <w:szCs w:val="28"/>
                <w:lang w:val="uk-UA"/>
              </w:rPr>
              <w:lastRenderedPageBreak/>
              <w:t>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515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1,007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1,200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3M</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Виробництво</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2,082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rPr>
              <w:t>Osram</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Виробництво</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749</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Nissan</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Motors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Автомобільна продукція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521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971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Motorola</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727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1,630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Du</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Pont</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Виробництво</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644</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1,455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628</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1:1,5</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Whirlpool</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1:8</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811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Kodak</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1,440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Basf</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Хімія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533</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Shell</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Хімія</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1,456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3,178</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2,260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1:1,6</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3,730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Microsoft</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4,292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3,000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1:1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Hewlett</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Packard</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10,300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7,600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1,996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ORACLE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Інформаційно-комунікаційні технології</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2,284</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2,400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3,116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Cisco</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Systems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Інформаційно-комунікаційні технології</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507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1,032</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1,173</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t>Deloitte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Бізнес послуги</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6,650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3,474</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7,687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3,336</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t>KPMG</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Бізнес послуги</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1,779</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4,957</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7,200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7,174</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Ernst</w:t>
            </w:r>
            <w:r w:rsidRPr="00C8397D">
              <w:rPr>
                <w:rFonts w:ascii="Times New Roman" w:hAnsi="Times New Roman"/>
                <w:noProof/>
                <w:color w:val="000000"/>
                <w:position w:val="2"/>
                <w:sz w:val="28"/>
                <w:szCs w:val="28"/>
                <w:lang w:val="ru-RU"/>
              </w:rPr>
              <w:t>&amp;</w:t>
            </w:r>
            <w:r w:rsidRPr="00C8397D">
              <w:rPr>
                <w:rFonts w:ascii="Times New Roman" w:hAnsi="Times New Roman"/>
                <w:noProof/>
                <w:color w:val="000000"/>
                <w:position w:val="2"/>
                <w:sz w:val="28"/>
                <w:szCs w:val="28"/>
              </w:rPr>
              <w:t>Young</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Бізнес послуги</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1,501</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5,765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1,770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1:1,2</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ING</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Bank</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lastRenderedPageBreak/>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Фінанси</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2,59</w:t>
            </w:r>
            <w:r w:rsidRPr="00C8397D">
              <w:rPr>
                <w:rFonts w:ascii="Times New Roman" w:hAnsi="Times New Roman"/>
                <w:noProof/>
                <w:color w:val="000000"/>
                <w:position w:val="2"/>
                <w:sz w:val="28"/>
                <w:szCs w:val="28"/>
                <w:lang w:val="ru-RU"/>
              </w:rPr>
              <w:lastRenderedPageBreak/>
              <w:t>5</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5,440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8,000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3,380</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lastRenderedPageBreak/>
              <w:t>Societe Generate</w:t>
            </w:r>
            <w:r w:rsidRPr="00C8397D">
              <w:rPr>
                <w:rFonts w:ascii="Times New Roman" w:hAnsi="Times New Roman"/>
                <w:noProof/>
                <w:color w:val="000000"/>
                <w:position w:val="2"/>
                <w:sz w:val="28"/>
                <w:szCs w:val="28"/>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Фінанси</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100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250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6,000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1:60</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1,612</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1:16</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r>
      <w:tr w:rsidR="00192005" w:rsidRPr="00C8397D" w:rsidTr="00BA5963">
        <w:tc>
          <w:tcPr>
            <w:tcW w:w="2808"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t>Baker &amp; McKenzie</w:t>
            </w:r>
            <w:r w:rsidRPr="00C8397D">
              <w:rPr>
                <w:rFonts w:ascii="Times New Roman" w:hAnsi="Times New Roman"/>
                <w:noProof/>
                <w:color w:val="000000"/>
                <w:position w:val="2"/>
                <w:sz w:val="28"/>
                <w:szCs w:val="28"/>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192005" w:rsidRPr="00C8397D" w:rsidRDefault="00192005" w:rsidP="00BA5963">
            <w:pPr>
              <w:spacing w:after="0" w:line="360" w:lineRule="auto"/>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Бізнес послуги</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1,480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2,031</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1:2</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2,300</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1:3</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uk-UA"/>
              </w:rPr>
              <w:t>х</w:t>
            </w:r>
          </w:p>
        </w:tc>
        <w:tc>
          <w:tcPr>
            <w:tcW w:w="0" w:type="auto"/>
          </w:tcPr>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192005" w:rsidRPr="00C8397D" w:rsidRDefault="00192005" w:rsidP="00BA5963">
            <w:pPr>
              <w:spacing w:after="0" w:line="360" w:lineRule="auto"/>
              <w:jc w:val="center"/>
              <w:rPr>
                <w:rFonts w:ascii="Times New Roman" w:hAnsi="Times New Roman"/>
                <w:noProof/>
                <w:color w:val="000000"/>
                <w:position w:val="2"/>
                <w:sz w:val="28"/>
                <w:szCs w:val="28"/>
                <w:lang w:val="uk-UA"/>
              </w:rPr>
            </w:pPr>
          </w:p>
          <w:p w:rsidR="00192005" w:rsidRPr="00C8397D" w:rsidRDefault="00192005"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uk-UA"/>
              </w:rPr>
              <w:t>х</w:t>
            </w:r>
          </w:p>
        </w:tc>
      </w:tr>
    </w:tbl>
    <w:p w:rsidR="00192005" w:rsidRPr="00C8397D" w:rsidRDefault="00192005" w:rsidP="00192005">
      <w:pPr>
        <w:spacing w:after="0" w:line="360" w:lineRule="auto"/>
        <w:ind w:firstLine="709"/>
        <w:jc w:val="both"/>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Вищенаведена таблиця чітко демонструє недостатній попит орендарів на офісні приміщення в Києві наприкінці 2008 року. З точки зору розмірів офісних приміщень запити орендарів на київському ринку нерухомості часто складають лише 20%-50% від площі, яку займають ті ж самі компанії в інших столицях країн Центральної та Східної Європи. Первинно, дане дослідження офісних приміщень, орендованих великими міжнародними компаніями, було проведено в червні 2005 року. Важливо відзначити, що з того часу ряд компаній, перерахованих у таблиці вище збільшили орендовану в Києві площу. Серед</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цих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компаній</w:t>
      </w:r>
      <w:r w:rsidRPr="00C8397D">
        <w:rPr>
          <w:rFonts w:ascii="Times New Roman" w:hAnsi="Times New Roman"/>
          <w:noProof/>
          <w:color w:val="000000"/>
          <w:position w:val="2"/>
          <w:sz w:val="28"/>
          <w:szCs w:val="28"/>
        </w:rPr>
        <w:t xml:space="preserve"> Baker &amp; McKenzie, Reiffeisen Bank, Cisco Systems, GlaxoSmithKline, Motorola, Procter &amp; Gamble, Unilever, Kraft</w:t>
      </w:r>
      <w:r w:rsidRPr="00C8397D">
        <w:rPr>
          <w:rFonts w:ascii="Times New Roman" w:hAnsi="Times New Roman"/>
          <w:noProof/>
          <w:color w:val="000000"/>
          <w:position w:val="2"/>
          <w:sz w:val="28"/>
          <w:szCs w:val="28"/>
          <w:lang w:val="uk-UA"/>
        </w:rPr>
        <w:t xml:space="preserve"> </w:t>
      </w:r>
      <w:r w:rsidRPr="00C8397D">
        <w:rPr>
          <w:rFonts w:ascii="Times New Roman" w:hAnsi="Times New Roman"/>
          <w:noProof/>
          <w:color w:val="000000"/>
          <w:position w:val="2"/>
          <w:sz w:val="28"/>
          <w:szCs w:val="28"/>
        </w:rPr>
        <w:t xml:space="preserve">Foods, Osram, Ernst&amp;Young, Deloitte, 3M, Microsoft </w:t>
      </w:r>
      <w:r w:rsidRPr="00C8397D">
        <w:rPr>
          <w:rFonts w:ascii="Times New Roman" w:hAnsi="Times New Roman"/>
          <w:noProof/>
          <w:color w:val="000000"/>
          <w:position w:val="2"/>
          <w:sz w:val="28"/>
          <w:szCs w:val="28"/>
          <w:lang w:val="ru-RU"/>
        </w:rPr>
        <w:t>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інші</w:t>
      </w:r>
      <w:r w:rsidRPr="00C8397D">
        <w:rPr>
          <w:rFonts w:ascii="Times New Roman" w:hAnsi="Times New Roman"/>
          <w:noProof/>
          <w:color w:val="000000"/>
          <w:position w:val="2"/>
          <w:sz w:val="28"/>
          <w:szCs w:val="28"/>
        </w:rPr>
        <w:t>.</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Завдяки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стабільному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економічному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росту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рівні</w:t>
      </w:r>
      <w:r w:rsidRPr="00C8397D">
        <w:rPr>
          <w:rFonts w:ascii="Times New Roman" w:hAnsi="Times New Roman"/>
          <w:noProof/>
          <w:color w:val="000000"/>
          <w:position w:val="2"/>
          <w:sz w:val="28"/>
          <w:szCs w:val="28"/>
        </w:rPr>
        <w:t xml:space="preserve"> 7,4% </w:t>
      </w:r>
      <w:r w:rsidRPr="00C8397D">
        <w:rPr>
          <w:rFonts w:ascii="Times New Roman" w:hAnsi="Times New Roman"/>
          <w:noProof/>
          <w:color w:val="000000"/>
          <w:position w:val="2"/>
          <w:sz w:val="28"/>
          <w:szCs w:val="28"/>
          <w:lang w:val="ru-RU"/>
        </w:rPr>
        <w:t>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середньому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період</w:t>
      </w:r>
      <w:r w:rsidRPr="00C8397D">
        <w:rPr>
          <w:rFonts w:ascii="Times New Roman" w:hAnsi="Times New Roman"/>
          <w:noProof/>
          <w:color w:val="000000"/>
          <w:position w:val="2"/>
          <w:sz w:val="28"/>
          <w:szCs w:val="28"/>
        </w:rPr>
        <w:t xml:space="preserve"> 2000-2007 </w:t>
      </w:r>
      <w:r w:rsidRPr="00C8397D">
        <w:rPr>
          <w:rFonts w:ascii="Times New Roman" w:hAnsi="Times New Roman"/>
          <w:noProof/>
          <w:color w:val="000000"/>
          <w:position w:val="2"/>
          <w:sz w:val="28"/>
          <w:szCs w:val="28"/>
          <w:lang w:val="ru-RU"/>
        </w:rPr>
        <w:t>рр</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також</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покращенню</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міжнародної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внутрішньої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привабливості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країни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починаючи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w:t>
      </w:r>
      <w:r w:rsidRPr="00C8397D">
        <w:rPr>
          <w:rFonts w:ascii="Times New Roman" w:hAnsi="Times New Roman"/>
          <w:noProof/>
          <w:color w:val="000000"/>
          <w:position w:val="2"/>
          <w:sz w:val="28"/>
          <w:szCs w:val="28"/>
        </w:rPr>
        <w:t xml:space="preserve"> 2007 </w:t>
      </w:r>
      <w:r w:rsidRPr="00C8397D">
        <w:rPr>
          <w:rFonts w:ascii="Times New Roman" w:hAnsi="Times New Roman"/>
          <w:noProof/>
          <w:color w:val="000000"/>
          <w:position w:val="2"/>
          <w:sz w:val="28"/>
          <w:szCs w:val="28"/>
          <w:lang w:val="ru-RU"/>
        </w:rPr>
        <w:t>року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багато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корпоративних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орендарів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почали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свої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експансію</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Через</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дефіцит</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якісних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приміщень</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що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історично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переважав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Києві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також</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низький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рівень</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пропозиції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нових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приміщень</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що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щорічно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вводилися</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до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експлуатації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Києві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упродовж</w:t>
      </w:r>
      <w:r w:rsidRPr="00C8397D">
        <w:rPr>
          <w:rFonts w:ascii="Times New Roman" w:hAnsi="Times New Roman"/>
          <w:noProof/>
          <w:color w:val="000000"/>
          <w:position w:val="2"/>
          <w:sz w:val="28"/>
          <w:szCs w:val="28"/>
        </w:rPr>
        <w:t xml:space="preserve"> 2007-2008 </w:t>
      </w:r>
      <w:r w:rsidRPr="00C8397D">
        <w:rPr>
          <w:rFonts w:ascii="Times New Roman" w:hAnsi="Times New Roman"/>
          <w:noProof/>
          <w:color w:val="000000"/>
          <w:position w:val="2"/>
          <w:sz w:val="28"/>
          <w:szCs w:val="28"/>
          <w:lang w:val="ru-RU"/>
        </w:rPr>
        <w:t>рр</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багато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компаній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значно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розширили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орендовану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площу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офісів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зважаючи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не</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тільки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нагальні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потреби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приміщеннях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але</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перспективи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подальшого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росту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компаній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додаткових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співробітників</w:t>
      </w:r>
      <w:r w:rsidRPr="00C8397D">
        <w:rPr>
          <w:rFonts w:ascii="Times New Roman" w:hAnsi="Times New Roman"/>
          <w:noProof/>
          <w:color w:val="000000"/>
          <w:position w:val="2"/>
          <w:sz w:val="28"/>
          <w:szCs w:val="28"/>
        </w:rPr>
        <w:t>.</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Не дивлячись на те, що економічна криза 2008/09 років призвела до значних коригувань планів експансії багатьох орендарів офісів, недорозвинений ринок офісних приміщень в Україні, а також історичний дефіцит якісних офісних та торгових приміщень, що переважав на ринку з 2004 року до четвертого кварталу 2008 року, з покращенням економічних умов в країні стабільний попит на офісні приміщення може повернутись разом з рівнем найвищої орендної плати, що спостерігалась до кризи.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Наведений вище висновок ґрунтується на основних економічних концепціях:</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 нееластичності пропозиції на нерухомість за ціною;</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 загальної еластичності попиту за ціною на найдорожчу нерухомість;</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 еластичності попиту на офісні приміщення від доходу.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Пропозиція нерухомості вважається нееластичною за ціною, що впливає на те що, ceteris paribus, вона не залежить від змін в ставці оренди та цінах продажу. Це актуально для пропозиції забудов, беручи до уваги різницю у часі, необхідну для отримання дозволів та здійснення будівництва, а також існуючий дефіцит фінансування проектів. У довгостроковій перспективі пропозиція на ринку нерухомості зазвичай стає більш еластичною, але вона все ще обмежена комерційними та планувальними ризиками, які скоріше за все будуть мати найбільш вагомий ефект в Україні, враховуючи існуючу бюрократичну тяганину в країні. Це доводять історичні дані, що свідчать про те, що навіть за часів стабільного зростання на ринку офісної та торгової нерухомості, разом з вагомим дефіцитом приміщень та найвищими цінами та ставками оренди на нерухомість, щорічний приріст пропозиції був незначним у багатьох містах України. Окрім того, через фінансову кризу, будівництво багатьох масштабних проектів було зупинено по всій країні.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З іншого боку, попит на об’єкти нерухомості визнається еластичним за ціною, іншими словами, чутливим до змін ставок оренди, цін продажу, ceteris paribus. Беручи до уваги існуючі ринкові умови, в процесі аналізу попиту на </w:t>
      </w:r>
      <w:r w:rsidRPr="00C8397D">
        <w:rPr>
          <w:rFonts w:ascii="Times New Roman" w:hAnsi="Times New Roman"/>
          <w:noProof/>
          <w:color w:val="000000"/>
          <w:position w:val="2"/>
          <w:sz w:val="28"/>
          <w:szCs w:val="28"/>
          <w:lang w:val="ru-RU"/>
        </w:rPr>
        <w:lastRenderedPageBreak/>
        <w:t>нерухомість також важливо звернутися до концепції еластичності попиту від рівня доходів, що є мірилом чутливості попиту на товар від змін у рівні доходів домоволодінь, ceteris paribus.</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Оскільки пропозиція офісних приміщень досить повільно реагує на зростання цін/ ставок оренди, завдяки нееластичності за ціною, у 2004-2007 роках збільшення доходів домогосподарств, що, через ріст обсягів продажу компаній, створювало пропорційний ріст попиту на офісні приміщення та стимулювало зростання цін/ ставок оренди у Києві та інших великих містах України.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Як зазначалося раніше, після відновлення економіки України, взаємодія між попитом орендарів, еластичним за доходом, та пропозицією нерухомості, нееластичною за ціною, може проявитися знову таки в корекції цін / ставок оренди у бік їх збільшення у секторі офісної нерухомості в Україні.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Хоча Україна все ще знаходиться на етапі відновлення після глобальної фінансової кризи 2008/09 років, що негативно позначилося на попиті на офісні приміщення в Києві, що ринкові показники сектору офісної нерухомості в українській столиці продовжували покращуватись починаючи з 2010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Багато корпоративних орендарів уже скористалися можливостями знижених ставок оренди на офіси в Києві, переїхавши до більш привабливих локації міста чи розширивши орендну площу офісів.</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відновленням України від глобальної економічної кризи та покращенням геополітичної ролі країни, майбутні вподобання орендарів у Києві характеризуватимуться більшими орендними площами, проте і більш високими вимогами щодо критеріїв підбору офісних приміщень.</w:t>
      </w:r>
    </w:p>
    <w:p w:rsidR="00192005" w:rsidRPr="00C8397D" w:rsidRDefault="00192005" w:rsidP="00192005">
      <w:pPr>
        <w:spacing w:after="0" w:line="360" w:lineRule="auto"/>
        <w:ind w:firstLine="709"/>
        <w:jc w:val="both"/>
        <w:rPr>
          <w:rFonts w:ascii="Times New Roman" w:hAnsi="Times New Roman"/>
          <w:i/>
          <w:noProof/>
          <w:color w:val="000000"/>
          <w:position w:val="2"/>
          <w:sz w:val="28"/>
          <w:szCs w:val="28"/>
          <w:lang w:val="ru-RU"/>
        </w:rPr>
      </w:pPr>
      <w:r w:rsidRPr="00C8397D">
        <w:rPr>
          <w:rFonts w:ascii="Times New Roman" w:hAnsi="Times New Roman"/>
          <w:i/>
          <w:noProof/>
          <w:color w:val="000000"/>
          <w:position w:val="2"/>
          <w:sz w:val="28"/>
          <w:szCs w:val="28"/>
          <w:lang w:val="ru-RU"/>
        </w:rPr>
        <w:t>Розташування офісних приміщень</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У Києві усі основні офісні об’єкти розташовані в або близько до центру міста. Традиційно, найбільша активність сконцентрована на півдні та сході головної вулиці міста – Хрещатик, разом з цим район Подолу також часто розглядається як приваблива офісна локація, наряду з територіями, навколо </w:t>
      </w:r>
      <w:r w:rsidRPr="00C8397D">
        <w:rPr>
          <w:rFonts w:ascii="Times New Roman" w:hAnsi="Times New Roman"/>
          <w:noProof/>
          <w:color w:val="000000"/>
          <w:position w:val="2"/>
          <w:sz w:val="28"/>
          <w:szCs w:val="28"/>
          <w:lang w:val="ru-RU"/>
        </w:rPr>
        <w:lastRenderedPageBreak/>
        <w:t>вулиць Жилянська, Саксаганського та Льва Толстого та району Печерська.</w:t>
      </w: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drawing>
          <wp:inline distT="0" distB="0" distL="0" distR="0">
            <wp:extent cx="4902835" cy="468884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l="11241" t="21187" r="54703" b="21388"/>
                    <a:stretch>
                      <a:fillRect/>
                    </a:stretch>
                  </pic:blipFill>
                  <pic:spPr bwMode="auto">
                    <a:xfrm>
                      <a:off x="0" y="0"/>
                      <a:ext cx="4902835" cy="468884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4.3.1.</w:t>
      </w:r>
      <w:r w:rsidRPr="00C8397D">
        <w:rPr>
          <w:rFonts w:ascii="Times New Roman" w:hAnsi="Times New Roman"/>
          <w:noProof/>
          <w:color w:val="000000"/>
          <w:position w:val="2"/>
          <w:sz w:val="28"/>
          <w:szCs w:val="28"/>
          <w:lang w:val="ru-RU"/>
        </w:rPr>
        <w:t>1 – Існуючі офісні об’єкти в Києві та середньо ринкові ставки оренди на професійні офісні приміщення</w:t>
      </w:r>
    </w:p>
    <w:p w:rsidR="00192005" w:rsidRPr="00C8397D" w:rsidRDefault="00192005" w:rsidP="00192005">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ЦЕНТРАЛЬНИЙ ДІЛОВИЙ РАЙОН (CBD)</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lastRenderedPageBreak/>
        <w:drawing>
          <wp:inline distT="0" distB="0" distL="0" distR="0">
            <wp:extent cx="5729605" cy="7889240"/>
            <wp:effectExtent l="0" t="0" r="444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l="55315" t="14661" r="15787" b="14813"/>
                    <a:stretch>
                      <a:fillRect/>
                    </a:stretch>
                  </pic:blipFill>
                  <pic:spPr bwMode="auto">
                    <a:xfrm>
                      <a:off x="0" y="0"/>
                      <a:ext cx="5729605" cy="788924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4.3.1.3</w:t>
      </w:r>
      <w:r w:rsidRPr="00C8397D">
        <w:rPr>
          <w:rFonts w:ascii="Times New Roman" w:hAnsi="Times New Roman"/>
          <w:noProof/>
          <w:color w:val="000000"/>
          <w:position w:val="2"/>
          <w:sz w:val="28"/>
          <w:szCs w:val="28"/>
          <w:lang w:val="ru-RU"/>
        </w:rPr>
        <w:t xml:space="preserve"> – Межі центрального ділового району Києва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Восени 2004 року, Комітет нерухомості Американської Торгової Палати дав визначення центрального ділового району у процесі упровадження системи офісної класифікації. Центральний діловий район, виділений синьою </w:t>
      </w:r>
      <w:r w:rsidRPr="00C8397D">
        <w:rPr>
          <w:rFonts w:ascii="Times New Roman" w:hAnsi="Times New Roman"/>
          <w:noProof/>
          <w:color w:val="000000"/>
          <w:position w:val="2"/>
          <w:sz w:val="28"/>
          <w:szCs w:val="28"/>
          <w:lang w:val="ru-RU"/>
        </w:rPr>
        <w:lastRenderedPageBreak/>
        <w:t>лінією на рисунку вище, - це територія в центральній частині Києва, що оточена на півдні вулицею Жилянська, на заході вулицею Воровського, на півночі вулицею Велика Житомирська та на сході вулицею Грушевського. Таке визначення було впроваджено Європейською Асоціацією Бізнесу восени 2004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Більшість новозбудованих офісних об’єктів, що вийшли на ринок наприкінці 2008 року, розташовані у межах центрального ділового району, включаючи такі як БЦ ‘Леонардо’ (черги 1, 2), ‘Парус’, ‘Євразія’ (колишній Айсберг) та ‘Ренесанс’. Великий офісний об’єкт, що зараз знаходиться в процесі будівництва в центральному діловому районі Києва, - бізнес центр ‘Гулівер’ (раніше також оголошувались назви ‘Парус-</w:t>
      </w:r>
      <w:smartTag w:uri="urn:schemas-microsoft-com:office:smarttags" w:element="metricconverter">
        <w:smartTagPr>
          <w:attr w:name="ProductID" w:val="2’"/>
        </w:smartTagPr>
        <w:r w:rsidRPr="00C8397D">
          <w:rPr>
            <w:rFonts w:ascii="Times New Roman" w:hAnsi="Times New Roman"/>
            <w:noProof/>
            <w:color w:val="000000"/>
            <w:position w:val="2"/>
            <w:sz w:val="28"/>
            <w:szCs w:val="28"/>
            <w:lang w:val="ru-RU"/>
          </w:rPr>
          <w:t>2’</w:t>
        </w:r>
      </w:smartTag>
      <w:r w:rsidRPr="00C8397D">
        <w:rPr>
          <w:rFonts w:ascii="Times New Roman" w:hAnsi="Times New Roman"/>
          <w:noProof/>
          <w:color w:val="000000"/>
          <w:position w:val="2"/>
          <w:sz w:val="28"/>
          <w:szCs w:val="28"/>
          <w:lang w:val="ru-RU"/>
        </w:rPr>
        <w:t xml:space="preserve"> та ‘Експланада’), є частиною багатофункціонального проекту, заявленого до реалізації у 2012 році.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Південна частина вулиці Хрещатик</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цьому районі Києва вперше спостерігали великомасштабну офісну забудову, в рамках якої виникли такі будівлі як ‘Міжнародний готельний та офісний центр’, ‘Київ Донбас’ і, пізніше, ‘Horizon Office Towers’. Кожна з цих будівель розташована в пішохідній доступності до інших, що зарекомендувало дану локацію як привабливе комерційне середовище, що має переваги доброго доступу до метро та інших видів громадського транспорту, а також до торгових об’єктів, розташованих уздовж центральної вулиці міста.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Подальше будівництво бізнес центрів ‘Мандарин Плаза’ та ‘Домінант’ на Бессарабській площі, бізнес центру ‘Парус’ та багатофункціонального комплексу ‘Гулівер’, який знаходиться в процесі будівництва, з одного боку консолідує район як офісну локацію, з іншого боку також має негативний ефекти, сприяючи значним заторам транспорту і проблемами з парковкою в даній локації.</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Західна частина вулиці Хрещатик</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Територія, що сформувалась на перехресті вулиць Хрещатик та Богдана </w:t>
      </w:r>
      <w:r w:rsidRPr="00C8397D">
        <w:rPr>
          <w:rFonts w:ascii="Times New Roman" w:hAnsi="Times New Roman"/>
          <w:noProof/>
          <w:color w:val="000000"/>
          <w:position w:val="2"/>
          <w:sz w:val="28"/>
          <w:szCs w:val="28"/>
          <w:lang w:val="ru-RU"/>
        </w:rPr>
        <w:lastRenderedPageBreak/>
        <w:t xml:space="preserve">Хмельницького, зараз є дуже популярною офісною локацією, враховуючи численні кафе, бари, паркові зони та історичні будівлі. У даному місцезнаходженні голландська інвестиційна компанія Gooioord B.V. здійснила реконструкцію понад </w:t>
      </w:r>
      <w:smartTag w:uri="urn:schemas-microsoft-com:office:smarttags" w:element="metricconverter">
        <w:smartTagPr>
          <w:attr w:name="ProductID" w:val="12 500 кв. м"/>
        </w:smartTagPr>
        <w:r w:rsidRPr="00C8397D">
          <w:rPr>
            <w:rFonts w:ascii="Times New Roman" w:hAnsi="Times New Roman"/>
            <w:noProof/>
            <w:color w:val="000000"/>
            <w:position w:val="2"/>
            <w:sz w:val="28"/>
            <w:szCs w:val="28"/>
            <w:lang w:val="ru-RU"/>
          </w:rPr>
          <w:t>12 500 кв. м</w:t>
        </w:r>
      </w:smartTag>
      <w:r w:rsidRPr="00C8397D">
        <w:rPr>
          <w:rFonts w:ascii="Times New Roman" w:hAnsi="Times New Roman"/>
          <w:noProof/>
          <w:color w:val="000000"/>
          <w:position w:val="2"/>
          <w:sz w:val="28"/>
          <w:szCs w:val="28"/>
          <w:lang w:val="ru-RU"/>
        </w:rPr>
        <w:t xml:space="preserve"> будівель за адресами вул. Б. Хмельницького, 48, вул. Б. Хмельницького, 52, вул. Леоновича, 4 та вул. І. Франка, 29, 31, 34, 36 та 38. Улітку 2008 року, тільки перед початком фінансової кризи в Україні, портфель об’єктів офісної нерухомості компанії Gooioord B.V. був проданий російському інвестору.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Багато посольств країн Швеції, Австрії, Бельгії, Данії та Германії також розташовано в цій локації. Також тут розташовані офіси багатьох міжнародних компаній.</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У 2005 році перша черга бізнес центру ‘Леонардо’ площею </w:t>
      </w:r>
      <w:smartTag w:uri="urn:schemas-microsoft-com:office:smarttags" w:element="metricconverter">
        <w:smartTagPr>
          <w:attr w:name="ProductID" w:val="16 800 кв. м"/>
        </w:smartTagPr>
        <w:r w:rsidRPr="00C8397D">
          <w:rPr>
            <w:rFonts w:ascii="Times New Roman" w:hAnsi="Times New Roman"/>
            <w:noProof/>
            <w:color w:val="000000"/>
            <w:position w:val="2"/>
            <w:sz w:val="28"/>
            <w:szCs w:val="28"/>
            <w:lang w:val="ru-RU"/>
          </w:rPr>
          <w:t>16 800 кв. м</w:t>
        </w:r>
      </w:smartTag>
      <w:r w:rsidRPr="00C8397D">
        <w:rPr>
          <w:rFonts w:ascii="Times New Roman" w:hAnsi="Times New Roman"/>
          <w:noProof/>
          <w:color w:val="000000"/>
          <w:position w:val="2"/>
          <w:sz w:val="28"/>
          <w:szCs w:val="28"/>
          <w:lang w:val="ru-RU"/>
        </w:rPr>
        <w:t xml:space="preserve"> (GLA) була побудована в даній локації, а в 2006 році в ході інвестиційної транзакції перейшла у володіння до ірландського інвестора компанії Quinn Group.</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Друга черга бізнес центру ‘Леонардо’ площею </w:t>
      </w:r>
      <w:smartTag w:uri="urn:schemas-microsoft-com:office:smarttags" w:element="metricconverter">
        <w:smartTagPr>
          <w:attr w:name="ProductID" w:val="17 530 кв. м"/>
        </w:smartTagPr>
        <w:r w:rsidRPr="00C8397D">
          <w:rPr>
            <w:rFonts w:ascii="Times New Roman" w:hAnsi="Times New Roman"/>
            <w:noProof/>
            <w:color w:val="000000"/>
            <w:position w:val="2"/>
            <w:sz w:val="28"/>
            <w:szCs w:val="28"/>
            <w:lang w:val="ru-RU"/>
          </w:rPr>
          <w:t>17 530 кв. м</w:t>
        </w:r>
      </w:smartTag>
      <w:r w:rsidRPr="00C8397D">
        <w:rPr>
          <w:rFonts w:ascii="Times New Roman" w:hAnsi="Times New Roman"/>
          <w:noProof/>
          <w:color w:val="000000"/>
          <w:position w:val="2"/>
          <w:sz w:val="28"/>
          <w:szCs w:val="28"/>
          <w:lang w:val="ru-RU"/>
        </w:rPr>
        <w:t xml:space="preserve"> (GLA) була введена до експлуатації у середині 2008 року, власником якої зараз є Еста Холдінг.</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червень 2012 року, середні орендні ставки на офісні приміщення в межах центрального ділового району Києва склали близько $25-45 за кв. м за місяць, не враховуючи ПДВ та сервісних платежів.</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Незважаючи на певні тенденції децентралізації в 2007-2008 рр. унаслідок зростаючих ставок оренди на офіси та відсутність потенціалу для розширення офісних площ компаній, розташованих у центрі міста, зараз більшість великих компаній розглядають лише центральні локації в Києві, на правому березі Дніпра.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Незважаючи на те, що зараз офіси займають орендарі з більшої кількості галузей, більшість великих корпорацій, оперуючих у сфері бізнес консалтінгу, фінансових послуг, виробництва та розповсюдження, сільського господарства та дистрибуції , а також державні організації та посольства </w:t>
      </w:r>
      <w:r w:rsidRPr="00C8397D">
        <w:rPr>
          <w:rFonts w:ascii="Times New Roman" w:hAnsi="Times New Roman"/>
          <w:noProof/>
          <w:color w:val="000000"/>
          <w:position w:val="2"/>
          <w:sz w:val="28"/>
          <w:szCs w:val="28"/>
          <w:lang w:val="ru-RU"/>
        </w:rPr>
        <w:lastRenderedPageBreak/>
        <w:t>розташовані в найпривабливіших офісних локаціях, тобто в центральному діловому районі, на Подолі, і частково в районі Печерську.</w:t>
      </w:r>
    </w:p>
    <w:p w:rsidR="00192005" w:rsidRPr="00C8397D" w:rsidRDefault="00192005" w:rsidP="00192005">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ПОДІЛ (НА ЗАХІД ВІД CBD)</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Територія уздовж західного берега річки Дніпро на півночі від центрального ділового району Києва утворює район Подолу. Поділ є популярним місцем розташування не тільки для численних кафе й ресторанів, але і для офісних об’єктів.</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Офісний центр ‘Поділ Плаза’ площею </w:t>
      </w:r>
      <w:smartTag w:uri="urn:schemas-microsoft-com:office:smarttags" w:element="metricconverter">
        <w:smartTagPr>
          <w:attr w:name="ProductID" w:val="18 000 кв. м"/>
        </w:smartTagPr>
        <w:r w:rsidRPr="00C8397D">
          <w:rPr>
            <w:rFonts w:ascii="Times New Roman" w:hAnsi="Times New Roman"/>
            <w:noProof/>
            <w:color w:val="000000"/>
            <w:position w:val="2"/>
            <w:sz w:val="28"/>
            <w:szCs w:val="28"/>
            <w:lang w:val="ru-RU"/>
          </w:rPr>
          <w:t>18 000 кв. м</w:t>
        </w:r>
      </w:smartTag>
      <w:r w:rsidRPr="00C8397D">
        <w:rPr>
          <w:rFonts w:ascii="Times New Roman" w:hAnsi="Times New Roman"/>
          <w:noProof/>
          <w:color w:val="000000"/>
          <w:position w:val="2"/>
          <w:sz w:val="28"/>
          <w:szCs w:val="28"/>
          <w:lang w:val="ru-RU"/>
        </w:rPr>
        <w:t xml:space="preserve"> побудований у 2000 році, друга фаза якого площею додатково </w:t>
      </w:r>
      <w:smartTag w:uri="urn:schemas-microsoft-com:office:smarttags" w:element="metricconverter">
        <w:smartTagPr>
          <w:attr w:name="ProductID" w:val="4 500 кв. м"/>
        </w:smartTagPr>
        <w:r w:rsidRPr="00C8397D">
          <w:rPr>
            <w:rFonts w:ascii="Times New Roman" w:hAnsi="Times New Roman"/>
            <w:noProof/>
            <w:color w:val="000000"/>
            <w:position w:val="2"/>
            <w:sz w:val="28"/>
            <w:szCs w:val="28"/>
            <w:lang w:val="ru-RU"/>
          </w:rPr>
          <w:t>4 500 кв. м</w:t>
        </w:r>
      </w:smartTag>
      <w:r w:rsidRPr="00C8397D">
        <w:rPr>
          <w:rFonts w:ascii="Times New Roman" w:hAnsi="Times New Roman"/>
          <w:noProof/>
          <w:color w:val="000000"/>
          <w:position w:val="2"/>
          <w:sz w:val="28"/>
          <w:szCs w:val="28"/>
          <w:lang w:val="ru-RU"/>
        </w:rPr>
        <w:t xml:space="preserve"> була введена до експлуатації наприкінці 2004 року, став одним з найбільших та найефективніших окремо-стоячих офісних центрів у місті.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Поява офісного центру ‘Поділ Плаза’ стимулювала розвиток Подолу як бізнес району, і згодом тут з’явилося багато інших великих реконструйованих та новозбудованих об’єктів. Серед інших великих бізнес центрів в цьому районі існують БЦ ‘Ільїнський’, друга та третя черга якого побудовані на початку 2008 року. Визначні офісні об’єкти, заплановані до вводу до експлуатації на Подолі, це бізнес центр ‘Horizon Podil’ (‘River Plaza’) (забудовник ISA Prime Development). Бізнес центр ‘Андріївський Плаза’, підготовчі роботи на земельній ділянці якого були інтенсивно розпочаті компанією Еста Холдінг навесні 2012 року, можливо не буде завершено через негативну реакцію суспільства, і замість того на ділянці можливо буде збудовано центр мистецтва та культури.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Значна частина земельних ділянок на Подолі була забудована офісними об’єктами для власних потреб інших значущих організацій, таких як Посольство Данії, Британська рада, Інститут Ґете та головні офіси комерційних банків, таких як Укрсиббанк- BNP Paribas та Перший Український Міжнародний банк.</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Нещодавно було побудовано декілька якісних готельних об’єктів, таких як готель Рів’єра та готель Fairmont також збільшуючи привабливість Подолу як бізнес району.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 червень 2012 року, чисті запитувані ставки оренди на офісні приміщення на Подолі як правило були в районі $20-40 за кв. м в місяць, що близько до порівняних ставок оренди, що спостерігаються в центральних районах міста.</w:t>
      </w:r>
    </w:p>
    <w:p w:rsidR="00192005" w:rsidRPr="00C8397D" w:rsidRDefault="00192005" w:rsidP="00192005">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ПЕЧЕРСК (НА СХІД ВІД CBD)</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Район Печерську розташований на півдні від центрального ділового району, пролягаючи уздовж річки Дніпро. Печерськ є престижним житловим мікрорайоном української столиці. В даному районі розташовані основні адміністративні будівлі органів державної влади (Верховна Рада, Кабінет Міністрів, Міністерство Фінансів, Адміністрація Президента, Центральний Виборчий Комітет та ін.), чисельні історичні та архітектурні пам’ятки (зокрема, Києво-Печерська Лавра), а також музеї, об’єкти торгової нерухомості, бари та ресторани.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Печерськ розташований поза межами центрального ділового району, однак тут розташовані численні офісні об’єкти, як існуючі, так і ті, що плануються. Основні офісні об’єкти, що плануються в цьому районі, - це бізнес центри ‘Европа’ (колишній ‘Марія’) та ‘IQ’ (забудовник обох – КАН Девелопмент), а також бізнес центр за адресою вул. Щорса, 36.</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Привабливість Печерська з точки зору розташування об’єктів офісної нерухомості пов’язана з близькістю його до центрального ділового району, розташуванням престижної житлової забудови та близькістю до робочих ресурсів, розвиненою соціальною і транспортною інфраструктурою, а також його сформованістю як зона адміністративного характеру.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червень 2012 року, запитувані ставки оренди на офісні приміщення в районі Печерська становили близько $22-40 за кв. м в місяць, без ПДВ та сервісних платежів.</w:t>
      </w:r>
    </w:p>
    <w:p w:rsidR="00192005" w:rsidRPr="00C8397D" w:rsidRDefault="00192005" w:rsidP="00192005">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ІНШІ ЦЕНТРАЛЬНІ ЛОКАЦІЇ ЗА МЕЖАМИ ЦЕНТРАЛЬНОГО ДІЛОВОГО РАЙОНУ (CBD)</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Райони прилеглі до південної, південно-західної та західної межі Центрального ділового району міста Києва, також нещодавно сформувались </w:t>
      </w:r>
      <w:r w:rsidRPr="00C8397D">
        <w:rPr>
          <w:rFonts w:ascii="Times New Roman" w:hAnsi="Times New Roman"/>
          <w:noProof/>
          <w:color w:val="000000"/>
          <w:position w:val="2"/>
          <w:sz w:val="28"/>
          <w:szCs w:val="28"/>
          <w:lang w:val="ru-RU"/>
        </w:rPr>
        <w:lastRenderedPageBreak/>
        <w:t>як нові кластери офісної нерухомості.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Зокрема, нещодавно було введено до експлуатації бізнес-центру ‘101 Tower’ загальною орендованою площею (GLA) 46 405 кв.м і кілька дрібніших об’єктів на вулицях Льва Толстого, Гайдара, Фізкультури, що пролягають на захід відносно вулиці Жилянської вздовж межі центрального ділового району міста.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Територія вздовж вулиці Антоновича (Горького) та вулиці Великої Васильківської (Червоноармійської) на півдні від центрального ділового району також активно розвивається в якості кластеру офісної забудови. До кінця 2012 року планується відкриття бізнес-центру "Торонто-Київ" (</w:t>
      </w:r>
      <w:smartTag w:uri="urn:schemas-microsoft-com:office:smarttags" w:element="metricconverter">
        <w:smartTagPr>
          <w:attr w:name="ProductID" w:val="37 670 кв. м"/>
        </w:smartTagPr>
        <w:r w:rsidRPr="00C8397D">
          <w:rPr>
            <w:rFonts w:ascii="Times New Roman" w:hAnsi="Times New Roman"/>
            <w:noProof/>
            <w:color w:val="000000"/>
            <w:position w:val="2"/>
            <w:sz w:val="28"/>
            <w:szCs w:val="28"/>
            <w:lang w:val="ru-RU"/>
          </w:rPr>
          <w:t>37 670 кв. м</w:t>
        </w:r>
      </w:smartTag>
      <w:r w:rsidRPr="00C8397D">
        <w:rPr>
          <w:rFonts w:ascii="Times New Roman" w:hAnsi="Times New Roman"/>
          <w:noProof/>
          <w:color w:val="000000"/>
          <w:position w:val="2"/>
          <w:sz w:val="28"/>
          <w:szCs w:val="28"/>
          <w:lang w:val="ru-RU"/>
        </w:rPr>
        <w:t xml:space="preserve"> GLA), крім того менші за площею офісні об’єкти були відкрити або заплановані до відкриття в цьому районі..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Колишня промислова зона поруч із Протасовим Яром і Байковим кладовищем, що відокремлена від південно-західного кордону центрального ділового району залізничною лінією, зарекомендувала себе як популярна офісна локація в період 2005-2009 років, з поступовим відкриттям таких бізнес центрів як «Горизонт Парк», «Протасів» і «FIM центр»</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Окремі офісні проекти також стихійно розвивались уздовж території між проспектом Перемоги і вулицею Мельникова в західній частині Києва.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червень 2012 року, середні запитувані орендні ставки на офісні приміщення в центральних районах міста за межами центрального ділового району склали $ 18-35 за кв.м в місяць, без ПДВ і плати за обслуговування.</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точки зору типу орендарів, нецентральні офісні кластери здебільшого зайняті компаніями, що працюють у виробництві і дистрибуції, роздрібній торгівлі, секторі вантажних перевезень, IT-секторі, а також комерційними банками і бек-офісами великих транснаціональних корпорацій.</w:t>
      </w:r>
    </w:p>
    <w:p w:rsidR="00192005" w:rsidRPr="00C8397D" w:rsidRDefault="00192005" w:rsidP="00192005">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ПЕТРІВКА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Петрівка розташована у північній частині Києва, на відстані приблизно 8-</w:t>
      </w:r>
      <w:smartTag w:uri="urn:schemas-microsoft-com:office:smarttags" w:element="metricconverter">
        <w:smartTagPr>
          <w:attr w:name="ProductID" w:val="10 км"/>
        </w:smartTagPr>
        <w:r w:rsidRPr="00C8397D">
          <w:rPr>
            <w:rFonts w:ascii="Times New Roman" w:hAnsi="Times New Roman"/>
            <w:noProof/>
            <w:color w:val="000000"/>
            <w:position w:val="2"/>
            <w:sz w:val="28"/>
            <w:szCs w:val="28"/>
            <w:lang w:val="ru-RU"/>
          </w:rPr>
          <w:t>10 км</w:t>
        </w:r>
      </w:smartTag>
      <w:r w:rsidRPr="00C8397D">
        <w:rPr>
          <w:rFonts w:ascii="Times New Roman" w:hAnsi="Times New Roman"/>
          <w:noProof/>
          <w:color w:val="000000"/>
          <w:position w:val="2"/>
          <w:sz w:val="28"/>
          <w:szCs w:val="28"/>
          <w:lang w:val="ru-RU"/>
        </w:rPr>
        <w:t xml:space="preserve"> від центрального ділового району. За радянських часів тут працювали </w:t>
      </w:r>
      <w:r w:rsidRPr="00C8397D">
        <w:rPr>
          <w:rFonts w:ascii="Times New Roman" w:hAnsi="Times New Roman"/>
          <w:noProof/>
          <w:color w:val="000000"/>
          <w:position w:val="2"/>
          <w:sz w:val="28"/>
          <w:szCs w:val="28"/>
          <w:lang w:val="ru-RU"/>
        </w:rPr>
        <w:lastRenderedPageBreak/>
        <w:t>численні промислові та виробничі підприємства та науково-дослідні інститути. Після розпаду Радянського Союзу і в результаті економічних перетворень в Україні, будівлі багатьох з таких підприємств і організацій були реконструйовані або відремонтовані під офіси або торгові приміщення.</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До основних об’єктів офісної нерухомості на Петрівці можна віднести такі бізнес-центри, як Форум Парк Плаза, Петрівка Центр, Valmi, а також бізнес-центр Ріалто, побудований групою компаній Істіл в 2011 році.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Також декілька бізнес-центрів на даному етапі перебувають на стадії будівництва, і ми очікуємо, що цей район буде зазнавати подальших перетворень в довгостроковій перспективі з реалізацією нових якісних офісних та торгових проектів. Станом на червень 2012 року середні орендні ставки на офісні приміщення в бізнес-центрах на Петрівці перебували в діапазоні $ 17-20 за кв.м на місяць.</w:t>
      </w:r>
    </w:p>
    <w:p w:rsidR="00192005" w:rsidRPr="00C8397D" w:rsidRDefault="00192005" w:rsidP="00192005">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ІНШІ НЕЦЕНТРАЛЬНІ РАЙОНИ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До початку фінансової кризи на кінець 2008 року, значна кількість офісних центрів з'явилась і в інших нецентральних районах Києва, а саме на проспекті Перемоги, вулиці Дегтярівська та бульварі Івана Лепсе, в західній частині міста, в Голосіївському районі, на південь від центру міста, а також на лівому березі Дніпра.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Незважаючи на те, що розвиток крупно-масштабних проектів у даній локації було припинено через кризу, очікується, що тенденція розвитку нових нецентральних локацій в якості офісних кластерів закріпиться в довгостроковій перспективі.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дату звіту, в нецентральних локаціях офісні об’єкти розвиваються лише за рахунок реконструкції колишніх адміністративних та промислових будівель. На сьогодні не існує девелоперських проектів, які можуть вважатися такими що відповідають критеріям бізнес-парку в міжнародному сенсі цього слова.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Станом на червень 2012 року середня орендна плата для офісних приміщень, розташованих в нецентральних районах міста становила в районі </w:t>
      </w:r>
      <w:r w:rsidRPr="00C8397D">
        <w:rPr>
          <w:rFonts w:ascii="Times New Roman" w:hAnsi="Times New Roman"/>
          <w:noProof/>
          <w:color w:val="000000"/>
          <w:position w:val="2"/>
          <w:sz w:val="28"/>
          <w:szCs w:val="28"/>
          <w:lang w:val="ru-RU"/>
        </w:rPr>
        <w:lastRenderedPageBreak/>
        <w:t>$ 13-25 за кв.м на правому березі Дніпра, у той час коли на лівому березі чисті орендні ставки перебувають у діапазоні від $ 11-20 за кв.м, за вирахуванням ПДВ і плати за обслуговування.</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Прогнозовані майбутні напрямки розвитку нових офісних кластерів в Києві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Є цілий ряд факторів, які є важливими для компаній, що розглядають офіси за межею центрального ділового району міста,в тому числі бізнес-парки: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 Близькість до метро. – Велика кількість людей використовує метро як основний вид транспорту для поїздок на роботу. Лінії метрополітену постійно розширюються, охоплюючи все більшу частину густонаселених житлових районів Києва.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 Близькість до густонаселених житлових кварталів. – Бізнес-парки та інші нецентральні офісні локації в Києві, як правило, займають компанії, якім потрібні значні площі для розміщення великої кількості офісних співробітників. Такі орендарі, як правило, це компанії, що працюють в сферах FMCG (випуск товарів повсякденного вжитку), виробництва, дистрибуції, енергетики, телекомунікацій, а також бек-офіси комерційних банків, страхових компаній та інших галузей послуг.</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цьому контексті, важливим фактором є доступ до густонаселених житлових кварталів (так званих «районів розміщення робочої сили»), за демографічною структурою населення в яких в ідеалі переважають молоді і мобільні співробітники.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 Близькість до закладів соціальної-побутової інфраструктури – об'єкти соціально-побутової інфраструктури в прилеглих локаціях стають менш значимими для масштабних проектів в структуру яких вони як правило інтегровані.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За відсутності містобудівного регулювання зі стороні міської адміністрації, пріоритетними районами офісної забудови для девелоперів досі залишаться ділянки в сучасних межах центрального ділового району та </w:t>
      </w:r>
      <w:r w:rsidRPr="00C8397D">
        <w:rPr>
          <w:rFonts w:ascii="Times New Roman" w:hAnsi="Times New Roman"/>
          <w:noProof/>
          <w:color w:val="000000"/>
          <w:position w:val="2"/>
          <w:sz w:val="28"/>
          <w:szCs w:val="28"/>
          <w:lang w:val="ru-RU"/>
        </w:rPr>
        <w:lastRenderedPageBreak/>
        <w:t>прилеглих до нього територій.</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той же визначено 11 основних зон, привабливих для розвитку нових офісних кластерів за межами центру Києва. Первинними зонами розвитку офісних кластерів, скоріш за все, будуть ті, що розташовані ближче до центру міста та станцій метро, та вже сприймаються чи розвиваються як такі зони. Із подальшим розвитком інфраструктури міста (зокрема, із подальшою релокацією промислових підприємств із центральної частини міста), транспортної інфраструктури на фоні постійного збільшення транспортних потоків, комерційна активність буде поступово зміщуватися в сторону від перевантаженого центру міста. В кінцевому рахунку, місто буде готове прийняти формат бізнес-парків як повноцінних комплексів офісних споруд, розташованих за межею міста, пов'язаних із прилеглими торговими об'єктами, логістичними та/ або невеликими-промисловими центрами.</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Варто звернути увагу, що ці прогнози дуже чутливі до загальних економічних та геополітичних темпів розвитку України та зміцнення її інвестиційної привабливості.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lastRenderedPageBreak/>
        <w:drawing>
          <wp:inline distT="0" distB="0" distL="0" distR="0">
            <wp:extent cx="5389245" cy="5360035"/>
            <wp:effectExtent l="0" t="0" r="190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13303" t="23434" r="54669" b="20085"/>
                    <a:stretch>
                      <a:fillRect/>
                    </a:stretch>
                  </pic:blipFill>
                  <pic:spPr bwMode="auto">
                    <a:xfrm>
                      <a:off x="0" y="0"/>
                      <a:ext cx="5389245" cy="5360035"/>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 4.3.1.</w:t>
      </w:r>
      <w:r w:rsidRPr="00C8397D">
        <w:rPr>
          <w:rFonts w:ascii="Times New Roman" w:hAnsi="Times New Roman"/>
          <w:noProof/>
          <w:color w:val="000000"/>
          <w:position w:val="2"/>
          <w:sz w:val="28"/>
          <w:szCs w:val="28"/>
          <w:lang w:val="ru-RU"/>
        </w:rPr>
        <w:t>4 - Потенційні майбутні напрямки розвитку кластерів офісної нерухомості в Києві</w:t>
      </w:r>
    </w:p>
    <w:p w:rsidR="00192005" w:rsidRPr="00C8397D" w:rsidRDefault="00192005" w:rsidP="00192005">
      <w:pPr>
        <w:spacing w:after="0" w:line="360" w:lineRule="auto"/>
        <w:ind w:firstLine="709"/>
        <w:jc w:val="both"/>
        <w:rPr>
          <w:rFonts w:ascii="Times New Roman" w:hAnsi="Times New Roman"/>
          <w:i/>
          <w:noProof/>
          <w:color w:val="000000"/>
          <w:position w:val="2"/>
          <w:sz w:val="28"/>
          <w:szCs w:val="28"/>
          <w:lang w:val="ru-RU"/>
        </w:rPr>
      </w:pPr>
      <w:r w:rsidRPr="00C8397D">
        <w:rPr>
          <w:rFonts w:ascii="Times New Roman" w:hAnsi="Times New Roman"/>
          <w:i/>
          <w:noProof/>
          <w:color w:val="000000"/>
          <w:position w:val="2"/>
          <w:sz w:val="28"/>
          <w:szCs w:val="28"/>
          <w:lang w:val="ru-RU"/>
        </w:rPr>
        <w:t>Попит на офісну нерухомість та рівень вакантності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період з 2000 року до вересня 2008 року спостерігалось щорічне зростання попиту на офісні приміщення в Києві, що досягло найбільшого піку в період 2005 - 3 квартал 2008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Pr>
          <w:rFonts w:ascii="Times New Roman" w:hAnsi="Times New Roman"/>
          <w:noProof/>
          <w:sz w:val="28"/>
          <w:szCs w:val="28"/>
          <w:lang w:val="ru-RU" w:eastAsia="ru-RU"/>
        </w:rPr>
        <w:drawing>
          <wp:anchor distT="0" distB="0" distL="114300" distR="114300" simplePos="0" relativeHeight="251659264" behindDoc="1" locked="0" layoutInCell="1" allowOverlap="0">
            <wp:simplePos x="0" y="0"/>
            <wp:positionH relativeFrom="column">
              <wp:posOffset>800100</wp:posOffset>
            </wp:positionH>
            <wp:positionV relativeFrom="paragraph">
              <wp:posOffset>28575</wp:posOffset>
            </wp:positionV>
            <wp:extent cx="4229100" cy="2505075"/>
            <wp:effectExtent l="0" t="0" r="0" b="9525"/>
            <wp:wrapTight wrapText="bothSides">
              <wp:wrapPolygon edited="0">
                <wp:start x="0" y="0"/>
                <wp:lineTo x="0" y="21518"/>
                <wp:lineTo x="21503" y="21518"/>
                <wp:lineTo x="21503"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l="30768" t="46063" r="48006" b="31595"/>
                    <a:stretch>
                      <a:fillRect/>
                    </a:stretch>
                  </pic:blipFill>
                  <pic:spPr bwMode="auto">
                    <a:xfrm>
                      <a:off x="0" y="0"/>
                      <a:ext cx="4229100" cy="250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4.3.1.5</w:t>
      </w:r>
      <w:r w:rsidRPr="00C8397D">
        <w:rPr>
          <w:rFonts w:ascii="Times New Roman" w:hAnsi="Times New Roman"/>
          <w:noProof/>
          <w:color w:val="000000"/>
          <w:position w:val="2"/>
          <w:sz w:val="28"/>
          <w:szCs w:val="28"/>
          <w:lang w:val="ru-RU"/>
        </w:rPr>
        <w:t xml:space="preserve"> – Попит на офісні приміщення в Києві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Загальний рівень поглинання офісних прощ у 2003 році був приблизно 60 000 кв.м на рік, що свідчить про значний ріст у порівнянні з минулими роками, коли цей показник було зафіксовано на рівні лише 18 000-22 500 кв.м. На кінець 2003 року рівень вакантності офісних приміщень у Києві оцінювався на рівні 7,5% у той час, коли загальний обсяг офісних приміщень складав приблизно 262 000 кв.м (GLA).</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Рівень поглинання офісів у 2004 році на ринку склав 65 000 кв.м, при цьому потенційний рівень попиту міг бути значно вищим, ураховуючи недостатність якісних приміщень в центрі міста, а також вимушеність потенційних орендарів залишатись в менших за розміром та гірших за якістю приміщеннях.</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Ураховуючи кількість нових об’єктів, що з’явились на ринку наприкінці грудня 2004 року, рівень вакантності теоретично зменшився за розрахунками до 6,5%, але фактично ці приміщення не здавалися в оренду до початку 2005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наступні роки, попит на якісні офісні приміщення в Києві залишалися високим - близько 120 000 квадратних метрів здано в оренду та продано щорічно в Києві, у 2005 та 2006 роках. У той же час, загальний рівень вакантності різко знизився сягаючи 3,5% в кінці 2005 року та 1,2% в кінці 2006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Завдяки стабільному економічному зростанню в Україні в середньому на 7,4% в період 2000-2007 рр., а також міжнародні та внутрішні довіри до країни, з 2007 року багато компаній приступили до реалізації своїх планів експансії. У зв'язку з історичним дефіцитом якісних офісних площ в Києві і низькими обсягами нової пропозиції з 2007 року – по третій квартал 2008 року багато компаній значно збільшили займану площу офісу з урахуванням </w:t>
      </w:r>
      <w:r w:rsidRPr="00C8397D">
        <w:rPr>
          <w:rFonts w:ascii="Times New Roman" w:hAnsi="Times New Roman"/>
          <w:noProof/>
          <w:color w:val="000000"/>
          <w:position w:val="2"/>
          <w:sz w:val="28"/>
          <w:szCs w:val="28"/>
          <w:lang w:val="ru-RU"/>
        </w:rPr>
        <w:lastRenderedPageBreak/>
        <w:t>не тільки поточних професійних потреб, але також закладаючи прогнозоване розширення їх бізнесу і, як наслідок необхідність збільшення чисельності персоналу.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 результаті введення на ринок кілька великих офісних проектів в 2007 році, а також активної маркетингової кампанії кількох офісних центрів запланованих до відкриття у 2008 році близько 230 000 кв.м офісних площ було поглинуто протягом 2007 року із значною часткою договорів попередньої здачі в оренду в структурі річного росту.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Як і в попередніх періодах, за думкою багатьох рівень поглинання протягом року був обмежений недостатністю якісних офісних приміщень на ринку. Рівень вакантності офісних приміщень в Києві оцінювався на рівні 1,3%, а обсяг офісних приміщень складав приблизно 741 400 кв.м (GLA) станом на кінець 2007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Виходячи із загалом позитивної динаміки економіки в січні-вересні 2008 року попит на офісні приміщення в Києві залишився дуже вагомим, і протягом дев’яти місяців 2008 року було здано в оренду близько 140 000 кв.м офісів. Орендарів цікавили якісні офісні приміщення усіх класів в Києві. В результаті структурного дефіциту якісних приміщень у поєднанні з високим попитом протягом дев’яти місяців 2008 року типічними стали попередні договори оренди на офісні приміщення, у той час коли загально ринковий рівень вакантності був на рівні 1-2,5%.</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зв'язку з уповільненням економічної активності в Україні та загальної невизначеності, в четвертому кварталі 2008 року спостерігалося значне падіння попиту на офісну нерухомість Києва. Ринок офісної нерухомості стрімко перетворився на ринок орендаря, на відміну від ринку орендодавця що привалював у місті в період з 2004 -3 квартал 2008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Багато компаній, які зазнали значного зниження прибутку, все частіше намагалися звести до мінімуму експлуатаційні витрати і оптимізувати бізнес-процеси, скорочення персоналу були широко поширені. З метою підвищення ефективності роботи персоналу, деякі компанії, які раніше займали значні </w:t>
      </w:r>
      <w:r w:rsidRPr="00C8397D">
        <w:rPr>
          <w:rFonts w:ascii="Times New Roman" w:hAnsi="Times New Roman"/>
          <w:noProof/>
          <w:color w:val="000000"/>
          <w:position w:val="2"/>
          <w:sz w:val="28"/>
          <w:szCs w:val="28"/>
          <w:lang w:val="ru-RU"/>
        </w:rPr>
        <w:lastRenderedPageBreak/>
        <w:t>офісні площі часто розташованих в декількох будівлях, тепер прагнули об'єднати всі свої підрозділи в одному будинку.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За весь 2008 рік, близько 160 000 квадратних метрів офісів було здано в оренду в Києві, що стало більш ніж на 30% менше в порівнянні з 2007 роком. До кінця 2008 року рівень вакантності в масштабах усього ринку становив близько 4,2%, беручі до розрахунків дані про незайняті приміщення згідно інформації від їх власників. Через зниження попиту орендарів на офісні приміщення, договори суборенди стали дуже поширені, дана опція сформувала значну додаткову пропозицію офісних площ на ринку нерухомості Києва.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2009 році близько 106 000 кв.м офісних приміщень було здано в оренду на ринку в Києві, або на 34% менше ніж у 2008 році. Протягом року угоди по оренді офісів в значній мірі були обумовлені переглядами умов контрактів, а також переміщення компаній, що прагнуть мінімізувати свої професійні витрати, підвищити якість займаного простору і / або оптимізувати бізнес-процеси за допомогою звільнень персоналу та / або консолідації в межах однієї будівлі або менших приміщень. В кінці 2009 року загальний рівень вакантності на первинному ринку офісної нерухомості досяг 17,6%.</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Хоча Україні як і раніше залишається в фазі відновлення після світової фінансової кризи 2008/09, економічні показники в секторі офісної нерухомості в Києві почали поліпшуватися в 2010 році, і ця тенденція тривала в 2011 році та першому кварталі 2012 року.</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Близько 165 000 квадратних метрів офісів було введено на ринок Києва в 2010 році, що перевищує загальний об’єм зданих приміщень в 2009 році майже на 56%. У 2010 році показники ринку офісної нерухомості в Києві покращилися, що поклало край існуванню чистого ринку орендаря, особливо по відношенню до високоякісних об’єктів, розташованих в центральному діловому районі міста.</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В 2010 році основними генераторами попиту в сегменті офісної </w:t>
      </w:r>
      <w:r w:rsidRPr="00C8397D">
        <w:rPr>
          <w:rFonts w:ascii="Times New Roman" w:hAnsi="Times New Roman"/>
          <w:noProof/>
          <w:color w:val="000000"/>
          <w:position w:val="2"/>
          <w:sz w:val="28"/>
          <w:szCs w:val="28"/>
          <w:lang w:val="ru-RU"/>
        </w:rPr>
        <w:lastRenderedPageBreak/>
        <w:t>нерухомості в Києві стали компанії, що працюють у фінансовому секторі, в галузі інформаційно-комунікаційних технологій, та бізнес-послуг. Сукупна частка цих компаній у загальному обсязі офісних приміщень, орендованих протягом першого півріччя, склала приблизно 51%.</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усього обсягу орендованих офісних приміщень у 2010 році офіси площею 101-500 кв.м, 501-1 000 кв.м та 1 000 -3 000 кв.м користувалися попитом у рівній мірі.</w:t>
      </w:r>
    </w:p>
    <w:p w:rsidR="00192005" w:rsidRPr="00C8397D" w:rsidRDefault="00192005" w:rsidP="00192005">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Частка угод оренди приміщень площею понад </w:t>
      </w:r>
      <w:smartTag w:uri="urn:schemas-microsoft-com:office:smarttags" w:element="metricconverter">
        <w:smartTagPr>
          <w:attr w:name="ProductID" w:val="3000 кв. м"/>
        </w:smartTagPr>
        <w:r w:rsidRPr="00C8397D">
          <w:rPr>
            <w:rFonts w:ascii="Times New Roman" w:hAnsi="Times New Roman"/>
            <w:noProof/>
            <w:color w:val="000000"/>
            <w:position w:val="2"/>
            <w:sz w:val="28"/>
            <w:szCs w:val="28"/>
            <w:lang w:val="ru-RU"/>
          </w:rPr>
          <w:t>3000 кв. м</w:t>
        </w:r>
      </w:smartTag>
      <w:r w:rsidRPr="00C8397D">
        <w:rPr>
          <w:rFonts w:ascii="Times New Roman" w:hAnsi="Times New Roman"/>
          <w:noProof/>
          <w:color w:val="000000"/>
          <w:position w:val="2"/>
          <w:sz w:val="28"/>
          <w:szCs w:val="28"/>
          <w:lang w:val="ru-RU"/>
        </w:rPr>
        <w:t xml:space="preserve"> склала близько 8% від загального числа угод, зареєстрованих протягом року в місті. У той же час, 2010 рік відзначився відновленням попиту в центрі Києва на офіси площею 75-150 кв.м. Попит на такі приміщення було сформовано компаніями, що виходили на український ринок, що спочатку вели діяльність через невеликі офіси представництв.</w:t>
      </w: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drawing>
          <wp:inline distT="0" distB="0" distL="0" distR="0">
            <wp:extent cx="3900805" cy="2178685"/>
            <wp:effectExtent l="0" t="0" r="444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l="31044" t="48172" r="49980" b="33044"/>
                    <a:stretch>
                      <a:fillRect/>
                    </a:stretch>
                  </pic:blipFill>
                  <pic:spPr bwMode="auto">
                    <a:xfrm>
                      <a:off x="0" y="0"/>
                      <a:ext cx="3900805" cy="217868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w:t>
      </w:r>
      <w:r w:rsidRPr="00C8397D">
        <w:rPr>
          <w:rFonts w:ascii="Times New Roman" w:hAnsi="Times New Roman"/>
          <w:noProof/>
          <w:color w:val="000000"/>
          <w:position w:val="2"/>
          <w:sz w:val="28"/>
          <w:szCs w:val="28"/>
          <w:lang w:val="ru-RU"/>
        </w:rPr>
        <w:t>1.6 - Офісні приміщення здані у Києві за розміром угоди</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Протягом 2010 року рівень вакантності на ринку офісної нерухомості в Києві поступово зменшився, сягаючи 12,7% на кінець року. Тривале скорочення рівня вакантності протягом 2010 року відображало, що ринок офісної нерухомості Києва поступово досягав нижньої цінової межі у наслідок зміцнення попиту. Посилення попиту орендарів на фоні невеликого обсягу нової пропозиції вже призвело до відновлення дефіциту якісної офісної нерухомості в Києві, який найбільш відчутний у класі офісних приміщень площею більше </w:t>
      </w:r>
      <w:smartTag w:uri="urn:schemas-microsoft-com:office:smarttags" w:element="metricconverter">
        <w:smartTagPr>
          <w:attr w:name="ProductID" w:val="1 000 кв. м"/>
        </w:smartTagPr>
        <w:r w:rsidRPr="00C8397D">
          <w:rPr>
            <w:rFonts w:ascii="Times New Roman" w:hAnsi="Times New Roman"/>
            <w:sz w:val="28"/>
            <w:szCs w:val="28"/>
            <w:lang w:val="ru-RU"/>
          </w:rPr>
          <w:t>1 000 кв. м</w:t>
        </w:r>
      </w:smartTag>
      <w:r w:rsidRPr="00C8397D">
        <w:rPr>
          <w:rFonts w:ascii="Times New Roman" w:hAnsi="Times New Roman"/>
          <w:sz w:val="28"/>
          <w:szCs w:val="28"/>
          <w:lang w:val="ru-RU"/>
        </w:rPr>
        <w:t xml:space="preserve"> у центральній частині міста.</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Приблизно 152 950 кв.м офісних приміщень було здано в оренду на </w:t>
      </w:r>
      <w:r w:rsidRPr="00C8397D">
        <w:rPr>
          <w:rFonts w:ascii="Times New Roman" w:hAnsi="Times New Roman"/>
          <w:sz w:val="28"/>
          <w:szCs w:val="28"/>
          <w:lang w:val="ru-RU"/>
        </w:rPr>
        <w:lastRenderedPageBreak/>
        <w:t>ринку Києва у 2011, що майже на 44% перевищує загальних обсяг офісних приміщень, зданих в оренду у 2009, але є порівняно стабільним у порівнянні до 2008 та 2010 років.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те, що у 2011 році попит на офісні приміщення формувався орендарями різних галузей на відміну від 2010 року, вагома доля попиту приходилась на компанії сектору информаційних технологій та комунікацій (38% загально обсягу приміщень, зданих в оренду в цей період), виробництва (26%, головним чином компаніями сектору продуктів повсякденного вжитку та фармації, дорівнюючи відповідно 4% та 6,8%), фінансів (10%) та сільського господарства (5%).</w:t>
      </w:r>
    </w:p>
    <w:p w:rsidR="00192005" w:rsidRPr="00C8397D" w:rsidRDefault="00192005" w:rsidP="00192005">
      <w:pPr>
        <w:tabs>
          <w:tab w:val="left" w:pos="990"/>
        </w:tabs>
        <w:spacing w:after="0" w:line="360" w:lineRule="auto"/>
        <w:ind w:firstLine="709"/>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4309110" cy="2286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l="31105" t="35625" r="44055" b="40984"/>
                    <a:stretch>
                      <a:fillRect/>
                    </a:stretch>
                  </pic:blipFill>
                  <pic:spPr bwMode="auto">
                    <a:xfrm>
                      <a:off x="0" y="0"/>
                      <a:ext cx="4309110" cy="2286000"/>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4.3.1.</w:t>
      </w:r>
      <w:r w:rsidRPr="00C8397D">
        <w:rPr>
          <w:rFonts w:ascii="Times New Roman" w:hAnsi="Times New Roman"/>
          <w:sz w:val="28"/>
          <w:szCs w:val="28"/>
          <w:lang w:val="ru-RU"/>
        </w:rPr>
        <w:t>7 - Оренда офісних приміщень у Києві за типами орендарів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4.3.1.6</w:t>
      </w:r>
      <w:r w:rsidRPr="00C8397D">
        <w:rPr>
          <w:rFonts w:ascii="Times New Roman" w:hAnsi="Times New Roman"/>
          <w:sz w:val="28"/>
          <w:szCs w:val="28"/>
          <w:lang w:val="uk-UA"/>
        </w:rPr>
        <w:t xml:space="preserve"> - </w:t>
      </w:r>
      <w:r w:rsidRPr="00C8397D">
        <w:rPr>
          <w:rFonts w:ascii="Times New Roman" w:hAnsi="Times New Roman"/>
          <w:sz w:val="28"/>
          <w:szCs w:val="28"/>
          <w:lang w:val="ru-RU"/>
        </w:rPr>
        <w:t>Найбільші угоди з оренди офісних приміщень у Києві з 2011 до першого кварталу 2012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4"/>
        <w:gridCol w:w="1611"/>
        <w:gridCol w:w="1098"/>
        <w:gridCol w:w="1763"/>
        <w:gridCol w:w="1952"/>
        <w:gridCol w:w="1903"/>
      </w:tblGrid>
      <w:tr w:rsidR="00192005" w:rsidRPr="00C8397D" w:rsidTr="00BA5963">
        <w:tc>
          <w:tcPr>
            <w:tcW w:w="1411"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Період</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Орендар</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GLA</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Сфера діяльності орендаря</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Об</w:t>
            </w:r>
            <w:r w:rsidRPr="00C8397D">
              <w:rPr>
                <w:rFonts w:ascii="Times New Roman" w:hAnsi="Times New Roman"/>
                <w:sz w:val="28"/>
                <w:szCs w:val="28"/>
              </w:rPr>
              <w:t>’</w:t>
            </w:r>
            <w:r w:rsidRPr="00C8397D">
              <w:rPr>
                <w:rFonts w:ascii="Times New Roman" w:hAnsi="Times New Roman"/>
                <w:sz w:val="28"/>
                <w:szCs w:val="28"/>
                <w:lang w:val="uk-UA"/>
              </w:rPr>
              <w:t>єкт</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Розташування</w:t>
            </w:r>
          </w:p>
        </w:tc>
      </w:tr>
      <w:tr w:rsidR="00192005" w:rsidRPr="00C8397D" w:rsidTr="00BA5963">
        <w:tc>
          <w:tcPr>
            <w:tcW w:w="1411"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Q2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TNK-BP</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5923</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Сфера виробництва</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Eleven</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r w:rsidR="00192005" w:rsidRPr="00C8397D" w:rsidTr="00BA5963">
        <w:trPr>
          <w:trHeight w:val="556"/>
        </w:trPr>
        <w:tc>
          <w:tcPr>
            <w:tcW w:w="1411"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Q1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EPAM System</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5300</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ІСТ сектор</w:t>
            </w:r>
            <w:r w:rsidRPr="00C8397D">
              <w:rPr>
                <w:rFonts w:ascii="Times New Roman" w:hAnsi="Times New Roman"/>
                <w:sz w:val="28"/>
                <w:szCs w:val="28"/>
                <w:lang w:val="uk-UA"/>
              </w:rPr>
              <w:br/>
              <w:t>виробництво</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«Времена года»</w:t>
            </w:r>
          </w:p>
        </w:tc>
        <w:tc>
          <w:tcPr>
            <w:tcW w:w="178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«Воля»</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3460</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ІСТ сектор</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 xml:space="preserve">FIM </w:t>
            </w:r>
            <w:r w:rsidRPr="00C8397D">
              <w:rPr>
                <w:rFonts w:ascii="Times New Roman" w:hAnsi="Times New Roman"/>
                <w:sz w:val="28"/>
                <w:szCs w:val="28"/>
              </w:rPr>
              <w:lastRenderedPageBreak/>
              <w:t>Center</w:t>
            </w:r>
          </w:p>
        </w:tc>
        <w:tc>
          <w:tcPr>
            <w:tcW w:w="178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lastRenderedPageBreak/>
              <w:t>НЦ-ЗБ</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lastRenderedPageBreak/>
              <w:t>Q</w:t>
            </w:r>
            <w:r w:rsidRPr="00C8397D">
              <w:rPr>
                <w:rFonts w:ascii="Times New Roman" w:hAnsi="Times New Roman"/>
                <w:sz w:val="28"/>
                <w:szCs w:val="28"/>
                <w:lang w:val="uk-UA"/>
              </w:rPr>
              <w:t>3 2011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PwC</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3292</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Бізнес-сервіс</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Eurasia</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3 2011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Microsoft</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2908</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Сфера виробництва</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Eurasia</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Посольство Канади в Україні</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2264</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Посольство</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на вул.. Костельній,13 а</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4 2011</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SEB</w:t>
            </w:r>
            <w:r w:rsidRPr="00C8397D">
              <w:rPr>
                <w:rFonts w:ascii="Times New Roman" w:hAnsi="Times New Roman"/>
                <w:sz w:val="28"/>
                <w:szCs w:val="28"/>
                <w:lang w:val="uk-UA"/>
              </w:rPr>
              <w:t xml:space="preserve"> </w:t>
            </w:r>
            <w:r w:rsidRPr="00C8397D">
              <w:rPr>
                <w:rFonts w:ascii="Times New Roman" w:hAnsi="Times New Roman"/>
                <w:sz w:val="28"/>
                <w:szCs w:val="28"/>
              </w:rPr>
              <w:t>Bank</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1991</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Фінансовий сектор</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вул. Михайлівська, 7</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Software</w:t>
            </w:r>
            <w:r w:rsidRPr="00C8397D">
              <w:rPr>
                <w:rFonts w:ascii="Times New Roman" w:hAnsi="Times New Roman"/>
                <w:sz w:val="28"/>
                <w:szCs w:val="28"/>
                <w:lang w:val="uk-UA"/>
              </w:rPr>
              <w:t xml:space="preserve"> </w:t>
            </w:r>
            <w:r w:rsidRPr="00C8397D">
              <w:rPr>
                <w:rFonts w:ascii="Times New Roman" w:hAnsi="Times New Roman"/>
                <w:sz w:val="28"/>
                <w:szCs w:val="28"/>
              </w:rPr>
              <w:t>Outsourcing</w:t>
            </w:r>
            <w:r w:rsidRPr="00C8397D">
              <w:rPr>
                <w:rFonts w:ascii="Times New Roman" w:hAnsi="Times New Roman"/>
                <w:sz w:val="28"/>
                <w:szCs w:val="28"/>
                <w:lang w:val="uk-UA"/>
              </w:rPr>
              <w:t xml:space="preserve"> </w:t>
            </w:r>
            <w:r w:rsidRPr="00C8397D">
              <w:rPr>
                <w:rFonts w:ascii="Times New Roman" w:hAnsi="Times New Roman"/>
                <w:sz w:val="28"/>
                <w:szCs w:val="28"/>
              </w:rPr>
              <w:t>Team</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1140</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ІСТ сектор</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Вул. Гайдара, 50</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EniS</w:t>
            </w:r>
            <w:r w:rsidRPr="00C8397D">
              <w:rPr>
                <w:rFonts w:ascii="Times New Roman" w:hAnsi="Times New Roman"/>
                <w:sz w:val="28"/>
                <w:szCs w:val="28"/>
                <w:lang w:val="uk-UA"/>
              </w:rPr>
              <w:t>.</w:t>
            </w:r>
            <w:r w:rsidRPr="00C8397D">
              <w:rPr>
                <w:rFonts w:ascii="Times New Roman" w:hAnsi="Times New Roman"/>
                <w:sz w:val="28"/>
                <w:szCs w:val="28"/>
              </w:rPr>
              <w:t>p</w:t>
            </w:r>
            <w:r w:rsidRPr="00C8397D">
              <w:rPr>
                <w:rFonts w:ascii="Times New Roman" w:hAnsi="Times New Roman"/>
                <w:sz w:val="28"/>
                <w:szCs w:val="28"/>
                <w:lang w:val="uk-UA"/>
              </w:rPr>
              <w:t>.</w:t>
            </w:r>
            <w:r w:rsidRPr="00C8397D">
              <w:rPr>
                <w:rFonts w:ascii="Times New Roman" w:hAnsi="Times New Roman"/>
                <w:sz w:val="28"/>
                <w:szCs w:val="28"/>
              </w:rPr>
              <w:t>A</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793</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Енергетика</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Поділ Плаза</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Поділ</w:t>
            </w:r>
          </w:p>
        </w:tc>
      </w:tr>
      <w:tr w:rsidR="00192005" w:rsidRPr="00C8397D" w:rsidTr="00BA5963">
        <w:trPr>
          <w:trHeight w:val="515"/>
        </w:trPr>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Porshe</w:t>
            </w:r>
            <w:r w:rsidRPr="00C8397D">
              <w:rPr>
                <w:rFonts w:ascii="Times New Roman" w:hAnsi="Times New Roman"/>
                <w:sz w:val="28"/>
                <w:szCs w:val="28"/>
                <w:lang w:val="uk-UA"/>
              </w:rPr>
              <w:t xml:space="preserve"> </w:t>
            </w:r>
            <w:r w:rsidRPr="00C8397D">
              <w:rPr>
                <w:rFonts w:ascii="Times New Roman" w:hAnsi="Times New Roman"/>
                <w:sz w:val="28"/>
                <w:szCs w:val="28"/>
              </w:rPr>
              <w:t>Leasing</w:t>
            </w:r>
            <w:r w:rsidRPr="00C8397D">
              <w:rPr>
                <w:rFonts w:ascii="Times New Roman" w:hAnsi="Times New Roman"/>
                <w:sz w:val="28"/>
                <w:szCs w:val="28"/>
                <w:lang w:val="uk-UA"/>
              </w:rPr>
              <w:t xml:space="preserve"> </w:t>
            </w:r>
            <w:r w:rsidRPr="00C8397D">
              <w:rPr>
                <w:rFonts w:ascii="Times New Roman" w:hAnsi="Times New Roman"/>
                <w:sz w:val="28"/>
                <w:szCs w:val="28"/>
              </w:rPr>
              <w:t>Ukraine</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662</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Фінансовий сектор</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БЦ </w:t>
            </w:r>
            <w:r w:rsidRPr="00C8397D">
              <w:rPr>
                <w:rFonts w:ascii="Times New Roman" w:hAnsi="Times New Roman"/>
                <w:sz w:val="28"/>
                <w:szCs w:val="28"/>
              </w:rPr>
              <w:t>Mikom</w:t>
            </w:r>
            <w:r w:rsidRPr="00C8397D">
              <w:rPr>
                <w:rFonts w:ascii="Times New Roman" w:hAnsi="Times New Roman"/>
                <w:sz w:val="28"/>
                <w:szCs w:val="28"/>
                <w:lang w:val="uk-UA"/>
              </w:rPr>
              <w:t xml:space="preserve"> </w:t>
            </w:r>
            <w:r w:rsidRPr="00C8397D">
              <w:rPr>
                <w:rFonts w:ascii="Times New Roman" w:hAnsi="Times New Roman"/>
                <w:sz w:val="28"/>
                <w:szCs w:val="28"/>
              </w:rPr>
              <w:t>Palace</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KPMG</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515</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Бізнес-сервіс</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Барокко</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192005" w:rsidRPr="00C8397D" w:rsidTr="00BA5963">
        <w:tc>
          <w:tcPr>
            <w:tcW w:w="1411"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Q1 2012</w:t>
            </w:r>
          </w:p>
        </w:tc>
        <w:tc>
          <w:tcPr>
            <w:tcW w:w="1553"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Groupe SEB</w:t>
            </w:r>
          </w:p>
        </w:tc>
        <w:tc>
          <w:tcPr>
            <w:tcW w:w="1344"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400</w:t>
            </w:r>
          </w:p>
        </w:tc>
        <w:tc>
          <w:tcPr>
            <w:tcW w:w="1653" w:type="dxa"/>
          </w:tcPr>
          <w:p w:rsidR="00192005" w:rsidRPr="00C8397D" w:rsidRDefault="00192005"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Сфера виробництва</w:t>
            </w:r>
          </w:p>
        </w:tc>
        <w:tc>
          <w:tcPr>
            <w:tcW w:w="1828"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Вул. Харківське Шосе, 201-203</w:t>
            </w:r>
          </w:p>
        </w:tc>
        <w:tc>
          <w:tcPr>
            <w:tcW w:w="1782" w:type="dxa"/>
          </w:tcPr>
          <w:p w:rsidR="00192005" w:rsidRPr="00C8397D" w:rsidRDefault="00192005"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bl>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*ICT – інформаційно-комунікаційні технології;</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ЦДР – Центральний діловий район; НЦ-ЗБ – нецентральний район на західному березі ріки Дніпро, НЦ-СБ – нецентральний район на східному березі ріки Дніпро.</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2011 переважаючими стали угоди на оренду офісних приміщень </w:t>
      </w:r>
      <w:r w:rsidRPr="00C8397D">
        <w:rPr>
          <w:rFonts w:ascii="Times New Roman" w:hAnsi="Times New Roman"/>
          <w:sz w:val="28"/>
          <w:szCs w:val="28"/>
          <w:lang w:val="uk-UA"/>
        </w:rPr>
        <w:lastRenderedPageBreak/>
        <w:t>площею понад 1 000 кв м, на частку яких припадає близько 42% загальної кількості укладених угод оренди на ринку.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першому кварталі 2012 року, у Києві було здано близько 10 500 кв м офісних приміщень, що на 31% нижче в порівнянні з показником зареєстрованим у першому кварталі 2004 року, перед початком динамічного економічного зростання в Україні. Крім того, об’єм поглинутих офісних приміщень у січні-березні 2012 є на 58% менше в порівнянні з показником, зареєстрованим в першому кварталі 2009 року, у час розпалу економічної кризи.</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зв'язку з поступовим поліпшенням економічної ситуації у країні і все ще сприятливих умов на ринку офісної нерухомості в Києві, , в 2011 році та в першому кварталі 2012 року багато компаній переїхали в офісні приміщення з кращими характеристиками з точки зору розташування та / або якості. Інші компанії розширили займані площі або провели переговори з власниками приміщень з метою зафіксувати поточні умови оренди на більш тривалий термін напередодні очікуваного відновлення позитивної динаміки ринку.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січні-березні 2012 року, аналогічно до періоду з 2009 по 2011 роки, попередні договори оренди були майже відсутні на ринку офісної нерухомості Києва у зв'язку з наявністю можливості зайняття вільніх приміщень в існуючих об’єктах та загальної недовіри на ринку нерухомості по відношенню до об’єктів, що будується.</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Через відсутність нововведених приміщень загальний рівень вакантності на первинному ринку офісних приміщень склав 15,2% на кінець марта 2012 року, зменшуючись з 15,8% на кінець 2011 року. Тим не менше, цей показник перевищив 13,6% на кінець першого кварталу 2011 року та 12,7% на кінець 2010 року, але залишаючись нижче пікового рівню 17,4%, зафіксованого на кінець 2009 року.</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657600" cy="1936115"/>
            <wp:effectExtent l="0" t="0" r="0"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l="9738" t="39876" r="65997" b="37532"/>
                    <a:stretch>
                      <a:fillRect/>
                    </a:stretch>
                  </pic:blipFill>
                  <pic:spPr bwMode="auto">
                    <a:xfrm>
                      <a:off x="0" y="0"/>
                      <a:ext cx="3657600" cy="1936115"/>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4.3.1.8</w:t>
      </w:r>
      <w:r w:rsidRPr="00C8397D">
        <w:rPr>
          <w:rFonts w:ascii="Times New Roman" w:hAnsi="Times New Roman"/>
          <w:sz w:val="28"/>
          <w:szCs w:val="28"/>
          <w:lang w:val="uk-UA"/>
        </w:rPr>
        <w:t xml:space="preserve"> - Рівень вакантності на ринку офісної нерухомості за районами у Києві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Показник наявності вільних офісних приміщень в центральних районах Києва, таких як центральний діловий район та район Поділ надалі зменшився у першому кварталі 2012 року. Зменшення рівня вакантності також спостерігалось в інших центральних та нецентральних районах.</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четвертого кварталу 2011 року найвищий рівень вакантності приміщень залишався в центральних районах за межами центрального ділового району Києва як наслідок нещодавнього вводу до експлуатації великої кількості офісних об’єктів у цих районах, а також порівняно невеликим обсягом ринку і, як наслідок, його високої волатильности.</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Ставки оренди офісів У середині 2008 року офісні приміщення класу «А» пропонувались на рівні $70-85 за кв.м в місяць, у той час коли офіси класу «В» пропонувалися в межах US$55-70 за кв.м в місяць.</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жовтня 2008 року очікувалось, що через нестачу якісних офісних приміщень, у сукупності з високим попитом, ставки оренди на офіси будуть дедалі зростати принаймні на 10-15% до кінця 2008 року.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Однак світова економічна криза і нещодавній розпал фінансової кризи в Україні внесли значні корективи до цих прогнозів.</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307715" cy="1838325"/>
            <wp:effectExtent l="0" t="0" r="698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l="11668" t="35646" r="65265" b="41544"/>
                    <a:stretch>
                      <a:fillRect/>
                    </a:stretch>
                  </pic:blipFill>
                  <pic:spPr bwMode="auto">
                    <a:xfrm>
                      <a:off x="0" y="0"/>
                      <a:ext cx="3307715" cy="1838325"/>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lang w:val="uk-UA"/>
        </w:rPr>
        <w:t>Рисунок 4.3.1.9 - Найвища досяжна орендна ставка та рівень вакантності на ринку офісної нерухомості у Києві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Між третім кварталом 2008 року і до кінця 2009, орендні ставки на офісні приміщення в Києві знизилися більш ніж на 50% Це пов'язано як з девальвацією української гривні, так і скороченням попиту з боку орендарів внаслідок економічної кризи в Україні та світі.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другій половині 2009 року, орендні ставки на офісні приміщення стабілізувалися на рівні 25-35 дол. США за кв. м на місяць на приміщення класу А, для офісних приміщень класу В, розташованих в центральних і нецентральних районах міста, ставки оренди перебували в межах 20-25 дол. США за кв. м на місяць, а для класу С - на рівні 12-17 дол. США за кв. м на місяць.</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Продовж перших трьох кварталів 2011 року спостерігалося деяке підвищення рівня орендних ставок, що пов'язано зі зниженням пропозиції особливо в сегменті класу А в центральному діловому районі Києва, а також поступовим посиленням попиту з боку орендарів.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Наприкінці 2011 року орендні ставки на найкращі офісні приміщення в Києві перебували на рівні 38-44 дол. США за кв. м на місяць, а офісні приміщення класу В і С пропонувалися за ставками оренди 23-35 і 8-25 дол. США за кв. м на місяць відповідно.</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Не дивлячись на істотне зниження орендних ставок на офісні приміщення в Києві наприкінці 2008 року, вони перевищують орендні ставки на найкращі приміщення в Бухаресті, Будапешті, Празі і Варшаві, але залишаються нижчими, ніж ставки оренди в Москві. </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200400" cy="177990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l="9737" t="45642" r="67766" b="32350"/>
                    <a:stretch>
                      <a:fillRect/>
                    </a:stretch>
                  </pic:blipFill>
                  <pic:spPr bwMode="auto">
                    <a:xfrm>
                      <a:off x="0" y="0"/>
                      <a:ext cx="3200400" cy="1779905"/>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w:t>
      </w:r>
      <w:r w:rsidRPr="00C8397D">
        <w:rPr>
          <w:rFonts w:ascii="Times New Roman" w:hAnsi="Times New Roman"/>
          <w:sz w:val="28"/>
          <w:szCs w:val="28"/>
          <w:lang w:val="uk-UA"/>
        </w:rPr>
        <w:t xml:space="preserve"> Найвищі орендні ставки на офісні приміщення в Києві та інших столицях Центральної та Східної Європи</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Оскільки більшість орендарів в Києві неохоче погоджуються нести додаткові капітальні витрати на поліпшення орендованих приміщень, базова обробка офісних приміщень залишається обов'язковою умовою для їх ефективної здачі в оренду.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Прогноз</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Нова пропозиція в 77 в Києві в 2012 році може скласти близько 305 000 кв.м (GLA). Однак цей показник залежить від здачі в експлуатацію кількох великих об'єктів офісної нерухомості, ймовірність своєчасного відкриття яких залишається під питанням.</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Загальна динаміка попиту на офісну нерухомість в Києві в 2012 році не зміниться, хоча обсяг нової пропозиції до кінця року може перевищити попит за цей період. Згідно з результатами дослідження ділових очікувань підприємств України станом на четвертий квартал 2011, проведеного Національним банком України, у найближчі 12 місяців підприємства всіх галузей економіки за винятком підприємств комунальної сфери планують збільшити кількість працівників.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середньостроковій перспективі термін дії багатьох договорів оренди, які були підписані або пролонговані в 2008-2010 роках на вигідних для орендарів умовах, закінчується через один-два року, що може призвести до збільшення попиту на офісні приміщення за умови сприятливої макроекономічної ситуації в країні.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2012-2013 роках планується введення в експлуатацію досить </w:t>
      </w:r>
      <w:r w:rsidRPr="00C8397D">
        <w:rPr>
          <w:rFonts w:ascii="Times New Roman" w:hAnsi="Times New Roman"/>
          <w:sz w:val="28"/>
          <w:szCs w:val="28"/>
          <w:lang w:val="uk-UA"/>
        </w:rPr>
        <w:lastRenderedPageBreak/>
        <w:t>великого обсягу нових офісних приміщень в Києві, що, швидше за все, буде поєднуватися з відносно незмінним попитом орендарів і нестабільної економічної ситуацією в Україні та світі. Очікується, що рівень вакантності виросте, в основному, в об'єктах офісної нерухомості, розташованих за межами центрального ділового району.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огляду на запланований обсяг нового пропозиції офісної нерухомості в 2012 році, середньо ринкові орендні ставки на офісні приміщення в Києві можуть дещо знизитися до кінця 2012 - початку 2013 року.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середньостроковій перспективі динаміка орендних ставок у найкращих офісних центрах Києва буде залежати від загальної макроекономічної ситуації в Україні та світі, а також від цінової стратегії у великих бізнес центрах «Гулівер», 101 Tower і «Торонто-Київ».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Якщо вартість оренди в цих бізнес центрах буде завищена, це може привести до подальшого підвищення середньо-ринкових орендних ставок на офісні приміщення в Києві.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той же час застосування в цих об'єктах конкурентної цінової стратегії, швидше за все, стане причиною зниження середньо-ринкових орендних ставок у сегменті офісної нерухомості в українській столиці.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Враховуючи очікуване посилення конкуренції в 2012 році - 2013 роках на ринку офісної нерухомості в Києві, орендодавці можуть підвищити привабливість своїх об'єктів для компаній-орендарів шляхом здачі приміщень з більш високим рівнем обробки, та / або пропонуючи інші альтернативні варіанти зниження капітальних витрат майбутніх орендарів.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 інших рівних умов або при покращенні ситуації, очікується, що у період 2012-2017 років ринок офісної нерухомості продемонструє досить позитивну динаміку, і ставки оренди на якісні офісні приміщення підвищуватимуться щорічно на 1-3% протягом найближчих 5 років.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Середньорічний рівень зростання загальної вартості оренди офісу в розрахунку на робоче місце в Києві протягом 2012-2016 років, буде становити 2,1-5%, що є доволі позитивним прогнозом в порівняні з іншими столицями в </w:t>
      </w:r>
      <w:r w:rsidRPr="00C8397D">
        <w:rPr>
          <w:rFonts w:ascii="Times New Roman" w:hAnsi="Times New Roman"/>
          <w:sz w:val="28"/>
          <w:szCs w:val="28"/>
          <w:lang w:val="uk-UA"/>
        </w:rPr>
        <w:lastRenderedPageBreak/>
        <w:t>Центральній та Східній Європі.</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extent cx="5603240" cy="25781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l="15486" t="25278" r="19037" b="21257"/>
                    <a:stretch>
                      <a:fillRect/>
                    </a:stretch>
                  </pic:blipFill>
                  <pic:spPr bwMode="auto">
                    <a:xfrm>
                      <a:off x="0" y="0"/>
                      <a:ext cx="5603240" cy="2578100"/>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lang w:val="uk-UA"/>
        </w:rPr>
        <w:t>Рисунок 4.3.1.5 – Глобальний прогноз щодо росту вартості оренди до 2016 року</w:t>
      </w:r>
    </w:p>
    <w:p w:rsidR="00192005" w:rsidRPr="00C8397D" w:rsidRDefault="00192005" w:rsidP="00192005">
      <w:pPr>
        <w:tabs>
          <w:tab w:val="left" w:pos="990"/>
        </w:tabs>
        <w:spacing w:after="0" w:line="360" w:lineRule="auto"/>
        <w:ind w:firstLine="709"/>
        <w:jc w:val="both"/>
        <w:rPr>
          <w:rFonts w:ascii="Times New Roman" w:hAnsi="Times New Roman"/>
          <w:b/>
          <w:sz w:val="28"/>
          <w:szCs w:val="28"/>
          <w:lang w:val="uk-UA"/>
        </w:rPr>
      </w:pPr>
      <w:r w:rsidRPr="00C8397D">
        <w:rPr>
          <w:rFonts w:ascii="Times New Roman" w:hAnsi="Times New Roman"/>
          <w:b/>
          <w:sz w:val="28"/>
          <w:szCs w:val="28"/>
          <w:lang w:val="uk-UA"/>
        </w:rPr>
        <w:t xml:space="preserve">3.2.1.2. Огляд ринку готельної нерухомості у місті Київ </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Основні висновки:</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t>Ринок готельної нерухомості у Києві є структурно ненасичений з точки зору його наповнення якісними міжнародними операторами, хоча значний об’єм нової пропозиції запланований до реалізації впродовж наступних 3-5 років.</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t>Ґрунтуючись на даних за період з 2009 року по 2010 рік, ринок готельної нерухомості у місті Києві відновив тенденцію, що до зростання показників завантаженості та рівню ADR, після негативного впливу фінансової кризи 2009 року. Спираючись на результати аналізу проведеного між міжнародними операторами готельної нерухомості у 2011 році, середній ринковий ADR був зареєстрований у розмірі 2 136,96 грн. (EUR 215,23), у той час як, рівень завантаженості готелів становив 60.4%.</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t>Згідно Всесвітній Раді Подорожей та Туризму (WTTC), кількість відвідувачів в Україні зросте з 20 мільйонів у 2012 році до 25,87 мільйонів відвідувачів у 2022 році. Даний показник відображає зростання кількості відвідувачів у Києві з 6 мільйонів туристів у 2012 році до 7,8 мільйонів туристів у 2022 році.</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Загальний обсяг пропозиції на ринку готельної нерухомості у Києві, у розмірі 9 800 номерів, 6 444 з яких можуть бути розглянуті як якісні готельні номери. Аналіз майбутньої пропозиції на ринку готельної нерухомості виявив додаткові 1 468 номерів заявлених до реалізації, які відображають 22,8% від загальної кількості якісних номерів. Аналіз попиту на ринку готельної нерухомості виявив, що майбутня пропозиція, заявлена до реалізації у місті Києві на час аналізу, відображає лише 49,4 - 53,5%від загальної потреби у якісних готельних номерах до 2022 року.</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t>Ринок готельної нерухомості може буде розділений на дві категорії: міжнародні мережеві готелі преміум класу/готелі вищої середньої цінової категорії, та самостійно-оперовані локальні готелі. Міжнародний бізнес сегмент є майже єдиним користувачем мережевих готелів. Сегмент відпочинку та розваг повністю представлений локальними, не мережевими операторами.</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t>Консультації з міжнародними мережевими операторами готельної нерухомості, присутніми на національному ринку, виявили очікування зниження рівня ADR в коротко та середньостроковій перспективі в сегменті міжнародних мережевих готелів преміум класу/готелів вищої середньої цінової категорії в розмірі до 25%.</w:t>
      </w:r>
    </w:p>
    <w:p w:rsidR="00192005" w:rsidRPr="00C8397D" w:rsidRDefault="00192005" w:rsidP="00192005">
      <w:pPr>
        <w:numPr>
          <w:ilvl w:val="1"/>
          <w:numId w:val="6"/>
        </w:numPr>
        <w:tabs>
          <w:tab w:val="clear" w:pos="2149"/>
          <w:tab w:val="left" w:pos="990"/>
          <w:tab w:val="num" w:pos="1080"/>
        </w:tabs>
        <w:spacing w:after="0" w:line="360" w:lineRule="auto"/>
        <w:ind w:left="0" w:firstLine="709"/>
        <w:jc w:val="both"/>
        <w:rPr>
          <w:rFonts w:ascii="Times New Roman" w:hAnsi="Times New Roman"/>
          <w:sz w:val="28"/>
          <w:szCs w:val="28"/>
          <w:lang w:val="uk-UA"/>
        </w:rPr>
      </w:pPr>
      <w:r w:rsidRPr="00C8397D">
        <w:rPr>
          <w:rFonts w:ascii="Times New Roman" w:hAnsi="Times New Roman"/>
          <w:sz w:val="28"/>
          <w:szCs w:val="28"/>
          <w:lang w:val="uk-UA"/>
        </w:rPr>
        <w:t>У Києві нараховується приблизно 6 444 готельні номери, які можуть бути розглянуті як конкурентоспроможні по відношенню до проекту «Київ Сіті». На кінець 2011 року, приблизно 28% від загальної кількості готельних номерів у Києві були оперовані міжнародними готельними операторами. Основні конкурентоспроможні готелі у Києві, зазначені у цьому розділі, включають: Hyatt, Intercontinental, Radisson Blu, «Опера», «Прем’єр Палас» та Ibis, а також недавно відчинені Fairmont Grand Hotel Kyiv та Ramada Encore по 258 та 322 номери відповідно.</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774440" cy="2169160"/>
            <wp:effectExtent l="0" t="0" r="0" b="25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l="7782" t="32495" r="60417" b="34596"/>
                    <a:stretch>
                      <a:fillRect/>
                    </a:stretch>
                  </pic:blipFill>
                  <pic:spPr bwMode="auto">
                    <a:xfrm>
                      <a:off x="0" y="0"/>
                      <a:ext cx="3774440" cy="2169160"/>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4.3.2.1</w:t>
      </w:r>
      <w:r w:rsidRPr="00C8397D">
        <w:rPr>
          <w:rFonts w:ascii="Times New Roman" w:hAnsi="Times New Roman"/>
          <w:sz w:val="28"/>
          <w:szCs w:val="28"/>
          <w:lang w:val="uk-UA"/>
        </w:rPr>
        <w:t xml:space="preserve"> - Основні показники ринку готельної нерухомості у місті Київ, 2008 – 2011</w:t>
      </w:r>
    </w:p>
    <w:p w:rsidR="00192005" w:rsidRPr="00C8397D" w:rsidRDefault="00192005" w:rsidP="00192005">
      <w:pPr>
        <w:tabs>
          <w:tab w:val="left" w:pos="990"/>
        </w:tabs>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Пропозиція на ринку готелів у місті Київ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 даними Державного комітету статистики, на початок 2011 року, в Києві налічувалося 133 готеля та інших видів короткострокового проживання, або 9 807 номери, більшість з яких представлені в локальному економ сегменті.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Нараховуэться приблизно 6 444 номери, які можуть бути конкурентоспроможними по відношенню до проекту «Київ Сіті». На кінець 2011, близько 27% від всієї якісної пропозиції готельних номерів у місті Києві були оперовані міжнародними готельними операторами. Якісні, конкурентоспроможні готелі у місті Києві включають наступні: Hyatt, Intercontinental, Radisson Blu, «Опера», «Прем’єр Палац», «Рив’єра», Ibis та нещодавно відкриті Fairmont Grand Hotel Kyiv та Ramada Encore на 258 і 322 номери кожна. Існує лімітована присутність якісних міжнародних «сервіс апартаментів».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Основні конкурентоспроможні готелі у місті Київ, які наведені у таблиці нижче.</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highlight w:val="yellow"/>
          <w:lang w:val="uk-UA"/>
        </w:rPr>
        <w:t>Таблиця 4.3.2</w:t>
      </w:r>
      <w:r w:rsidRPr="00C8397D">
        <w:rPr>
          <w:rFonts w:ascii="Times New Roman" w:hAnsi="Times New Roman"/>
          <w:sz w:val="28"/>
          <w:szCs w:val="28"/>
          <w:lang w:val="uk-UA"/>
        </w:rPr>
        <w:t>.4  - Основні якісні готелі міста Київ станом на 2кв. 2012 року</w:t>
      </w:r>
    </w:p>
    <w:tbl>
      <w:tblPr>
        <w:tblpPr w:leftFromText="181" w:rightFromText="181" w:vertAnchor="text" w:horzAnchor="margin" w:tblpY="4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73"/>
        <w:gridCol w:w="4374"/>
        <w:gridCol w:w="2681"/>
      </w:tblGrid>
      <w:tr w:rsidR="00192005" w:rsidRPr="00C8397D" w:rsidTr="00BA5963">
        <w:trPr>
          <w:trHeight w:hRule="exact" w:val="298"/>
        </w:trPr>
        <w:tc>
          <w:tcPr>
            <w:tcW w:w="2773"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Сегмент</w:t>
            </w:r>
          </w:p>
        </w:tc>
        <w:tc>
          <w:tcPr>
            <w:tcW w:w="4374"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4"/>
                <w:sz w:val="28"/>
                <w:szCs w:val="28"/>
              </w:rPr>
              <w:t>Назва</w:t>
            </w:r>
            <w:r w:rsidRPr="00C8397D">
              <w:rPr>
                <w:rFonts w:ascii="Times New Roman" w:hAnsi="Times New Roman"/>
                <w:noProof/>
                <w:color w:val="000000"/>
                <w:sz w:val="28"/>
                <w:szCs w:val="28"/>
              </w:rPr>
              <w:t>готелю</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Кількість</w:t>
            </w:r>
            <w:r w:rsidRPr="00C8397D">
              <w:rPr>
                <w:rFonts w:ascii="Times New Roman" w:hAnsi="Times New Roman"/>
                <w:noProof/>
                <w:color w:val="000000"/>
                <w:spacing w:val="8"/>
                <w:sz w:val="28"/>
                <w:szCs w:val="28"/>
              </w:rPr>
              <w:t> </w:t>
            </w:r>
            <w:r w:rsidRPr="00C8397D">
              <w:rPr>
                <w:rFonts w:ascii="Times New Roman" w:hAnsi="Times New Roman"/>
                <w:noProof/>
                <w:color w:val="000000"/>
                <w:spacing w:val="-4"/>
                <w:sz w:val="28"/>
                <w:szCs w:val="28"/>
              </w:rPr>
              <w:t>номерів</w:t>
            </w:r>
          </w:p>
        </w:tc>
      </w:tr>
      <w:tr w:rsidR="00192005" w:rsidRPr="00C8397D" w:rsidTr="00BA5963">
        <w:trPr>
          <w:trHeight w:hRule="exact" w:val="278"/>
        </w:trPr>
        <w:tc>
          <w:tcPr>
            <w:tcW w:w="2773" w:type="dxa"/>
            <w:vMerge w:val="restart"/>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1"/>
                <w:sz w:val="28"/>
                <w:szCs w:val="28"/>
              </w:rPr>
              <w:t>Преміум</w:t>
            </w:r>
            <w:r w:rsidRPr="00C8397D">
              <w:rPr>
                <w:rFonts w:ascii="Times New Roman" w:hAnsi="Times New Roman"/>
                <w:noProof/>
                <w:color w:val="000000"/>
                <w:spacing w:val="8"/>
                <w:sz w:val="28"/>
                <w:szCs w:val="28"/>
                <w:lang w:val="ru-RU"/>
              </w:rPr>
              <w:t xml:space="preserve"> </w:t>
            </w:r>
            <w:r w:rsidRPr="00C8397D">
              <w:rPr>
                <w:rFonts w:ascii="Times New Roman" w:hAnsi="Times New Roman"/>
                <w:noProof/>
                <w:color w:val="000000"/>
                <w:spacing w:val="1"/>
                <w:sz w:val="28"/>
                <w:szCs w:val="28"/>
              </w:rPr>
              <w:t>клас</w:t>
            </w: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z w:val="28"/>
                <w:szCs w:val="28"/>
              </w:rPr>
              <w:t>Fairmont</w:t>
            </w:r>
            <w:r w:rsidRPr="00C8397D">
              <w:rPr>
                <w:rFonts w:ascii="Times New Roman" w:hAnsi="Times New Roman"/>
                <w:noProof/>
                <w:color w:val="000000"/>
                <w:spacing w:val="4"/>
                <w:sz w:val="28"/>
                <w:szCs w:val="28"/>
              </w:rPr>
              <w:t> </w:t>
            </w:r>
            <w:r w:rsidRPr="00C8397D">
              <w:rPr>
                <w:rFonts w:ascii="Times New Roman" w:hAnsi="Times New Roman"/>
                <w:noProof/>
                <w:color w:val="000000"/>
                <w:sz w:val="28"/>
                <w:szCs w:val="28"/>
              </w:rPr>
              <w:t>Grand</w:t>
            </w:r>
            <w:r w:rsidRPr="00C8397D">
              <w:rPr>
                <w:rFonts w:ascii="Times New Roman" w:hAnsi="Times New Roman"/>
                <w:noProof/>
                <w:color w:val="000000"/>
                <w:spacing w:val="4"/>
                <w:sz w:val="28"/>
                <w:szCs w:val="28"/>
              </w:rPr>
              <w:t> </w:t>
            </w:r>
            <w:r w:rsidRPr="00C8397D">
              <w:rPr>
                <w:rFonts w:ascii="Times New Roman" w:hAnsi="Times New Roman"/>
                <w:noProof/>
                <w:color w:val="000000"/>
                <w:sz w:val="28"/>
                <w:szCs w:val="28"/>
              </w:rPr>
              <w:t>Hotel</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Kyiv</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259</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z w:val="28"/>
                <w:szCs w:val="28"/>
              </w:rPr>
              <w:t>Hyatt</w:t>
            </w:r>
            <w:r w:rsidRPr="00C8397D">
              <w:rPr>
                <w:rFonts w:ascii="Times New Roman" w:hAnsi="Times New Roman"/>
                <w:noProof/>
                <w:color w:val="000000"/>
                <w:spacing w:val="4"/>
                <w:sz w:val="28"/>
                <w:szCs w:val="28"/>
              </w:rPr>
              <w:t> </w:t>
            </w:r>
            <w:r w:rsidRPr="00C8397D">
              <w:rPr>
                <w:rFonts w:ascii="Times New Roman" w:hAnsi="Times New Roman"/>
                <w:noProof/>
                <w:color w:val="000000"/>
                <w:sz w:val="28"/>
                <w:szCs w:val="28"/>
              </w:rPr>
              <w:t>Regency</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234</w:t>
            </w:r>
          </w:p>
        </w:tc>
      </w:tr>
      <w:tr w:rsidR="00192005" w:rsidRPr="00C8397D" w:rsidTr="00BA5963">
        <w:trPr>
          <w:trHeight w:hRule="exact" w:val="281"/>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1"/>
                <w:sz w:val="28"/>
                <w:szCs w:val="28"/>
              </w:rPr>
              <w:t>Intercontinental</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272</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Прем</w:t>
            </w: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єр</w:t>
            </w:r>
            <w:r w:rsidRPr="00C8397D">
              <w:rPr>
                <w:rFonts w:ascii="Times New Roman" w:hAnsi="Times New Roman"/>
                <w:noProof/>
                <w:color w:val="000000"/>
                <w:spacing w:val="3"/>
                <w:sz w:val="28"/>
                <w:szCs w:val="28"/>
              </w:rPr>
              <w:t> Палац</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287</w:t>
            </w:r>
          </w:p>
        </w:tc>
      </w:tr>
      <w:tr w:rsidR="00192005" w:rsidRPr="00C8397D" w:rsidTr="00BA5963">
        <w:trPr>
          <w:trHeight w:hRule="exact" w:val="281"/>
        </w:trPr>
        <w:tc>
          <w:tcPr>
            <w:tcW w:w="2773" w:type="dxa"/>
            <w:vMerge w:val="restart"/>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2"/>
                <w:sz w:val="28"/>
                <w:szCs w:val="28"/>
              </w:rPr>
              <w:t>Готелі</w:t>
            </w:r>
            <w:r w:rsidRPr="00C8397D">
              <w:rPr>
                <w:rFonts w:ascii="Times New Roman" w:hAnsi="Times New Roman"/>
                <w:noProof/>
                <w:color w:val="000000"/>
                <w:spacing w:val="8"/>
                <w:sz w:val="28"/>
                <w:szCs w:val="28"/>
              </w:rPr>
              <w:t xml:space="preserve"> </w:t>
            </w:r>
            <w:r w:rsidRPr="00C8397D">
              <w:rPr>
                <w:rFonts w:ascii="Times New Roman" w:hAnsi="Times New Roman"/>
                <w:noProof/>
                <w:color w:val="000000"/>
                <w:spacing w:val="-1"/>
                <w:sz w:val="28"/>
                <w:szCs w:val="28"/>
              </w:rPr>
              <w:t xml:space="preserve">вищої </w:t>
            </w:r>
            <w:r w:rsidRPr="00C8397D">
              <w:rPr>
                <w:rFonts w:ascii="Times New Roman" w:hAnsi="Times New Roman"/>
                <w:noProof/>
                <w:color w:val="000000"/>
                <w:sz w:val="28"/>
                <w:szCs w:val="28"/>
              </w:rPr>
              <w:t>середньої</w:t>
            </w:r>
            <w:r w:rsidRPr="00C8397D">
              <w:rPr>
                <w:rFonts w:ascii="Times New Roman" w:hAnsi="Times New Roman"/>
                <w:noProof/>
                <w:color w:val="000000"/>
                <w:spacing w:val="8"/>
                <w:sz w:val="28"/>
                <w:szCs w:val="28"/>
              </w:rPr>
              <w:t xml:space="preserve"> </w:t>
            </w:r>
            <w:r w:rsidRPr="00C8397D">
              <w:rPr>
                <w:rFonts w:ascii="Times New Roman" w:hAnsi="Times New Roman"/>
                <w:noProof/>
                <w:color w:val="000000"/>
                <w:spacing w:val="-4"/>
                <w:sz w:val="28"/>
                <w:szCs w:val="28"/>
              </w:rPr>
              <w:t xml:space="preserve">цінової </w:t>
            </w:r>
            <w:r w:rsidRPr="00C8397D">
              <w:rPr>
                <w:rFonts w:ascii="Times New Roman" w:hAnsi="Times New Roman"/>
                <w:noProof/>
                <w:color w:val="000000"/>
                <w:spacing w:val="-2"/>
                <w:sz w:val="28"/>
                <w:szCs w:val="28"/>
              </w:rPr>
              <w:t>категорії</w:t>
            </w: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Опера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138</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z w:val="28"/>
                <w:szCs w:val="28"/>
              </w:rPr>
              <w:t>Radisson</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Blu</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255</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3"/>
                <w:sz w:val="28"/>
                <w:szCs w:val="28"/>
              </w:rPr>
              <w:t>Рив</w:t>
            </w:r>
            <w:r w:rsidRPr="00C8397D">
              <w:rPr>
                <w:rFonts w:ascii="Times New Roman" w:hAnsi="Times New Roman"/>
                <w:noProof/>
                <w:color w:val="000000"/>
                <w:position w:val="3"/>
                <w:sz w:val="28"/>
                <w:szCs w:val="28"/>
              </w:rPr>
              <w:t>’</w:t>
            </w:r>
            <w:r w:rsidRPr="00C8397D">
              <w:rPr>
                <w:rFonts w:ascii="Times New Roman" w:hAnsi="Times New Roman"/>
                <w:noProof/>
                <w:color w:val="000000"/>
                <w:spacing w:val="3"/>
                <w:sz w:val="28"/>
                <w:szCs w:val="28"/>
              </w:rPr>
              <w:t>єра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78</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z w:val="28"/>
                <w:szCs w:val="28"/>
              </w:rPr>
              <w:t>11</w:t>
            </w:r>
            <w:r w:rsidRPr="00C8397D">
              <w:rPr>
                <w:rFonts w:ascii="Times New Roman" w:hAnsi="Times New Roman"/>
                <w:noProof/>
                <w:color w:val="000000"/>
                <w:spacing w:val="9"/>
                <w:sz w:val="28"/>
                <w:szCs w:val="28"/>
              </w:rPr>
              <w:t> </w:t>
            </w:r>
            <w:r w:rsidRPr="00C8397D">
              <w:rPr>
                <w:rFonts w:ascii="Times New Roman" w:hAnsi="Times New Roman"/>
                <w:noProof/>
                <w:color w:val="000000"/>
                <w:spacing w:val="-1"/>
                <w:sz w:val="28"/>
                <w:szCs w:val="28"/>
              </w:rPr>
              <w:t>Mirrors</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49</w:t>
            </w:r>
          </w:p>
        </w:tc>
      </w:tr>
      <w:tr w:rsidR="00192005" w:rsidRPr="00C8397D" w:rsidTr="00BA5963">
        <w:trPr>
          <w:trHeight w:hRule="exact" w:val="281"/>
        </w:trPr>
        <w:tc>
          <w:tcPr>
            <w:tcW w:w="2773" w:type="dxa"/>
            <w:vMerge w:val="restart"/>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2"/>
                <w:sz w:val="28"/>
                <w:szCs w:val="28"/>
                <w:lang w:val="ru-RU"/>
              </w:rPr>
              <w:t>Г</w:t>
            </w:r>
            <w:r w:rsidRPr="00C8397D">
              <w:rPr>
                <w:rFonts w:ascii="Times New Roman" w:hAnsi="Times New Roman"/>
                <w:noProof/>
                <w:color w:val="000000"/>
                <w:spacing w:val="2"/>
                <w:sz w:val="28"/>
                <w:szCs w:val="28"/>
              </w:rPr>
              <w:t>отелі</w:t>
            </w:r>
            <w:r w:rsidRPr="00C8397D">
              <w:rPr>
                <w:rFonts w:ascii="Times New Roman" w:hAnsi="Times New Roman"/>
                <w:noProof/>
                <w:color w:val="000000"/>
                <w:spacing w:val="8"/>
                <w:sz w:val="28"/>
                <w:szCs w:val="28"/>
                <w:lang w:val="ru-RU"/>
              </w:rPr>
              <w:t xml:space="preserve"> </w:t>
            </w:r>
            <w:r w:rsidRPr="00C8397D">
              <w:rPr>
                <w:rFonts w:ascii="Times New Roman" w:hAnsi="Times New Roman"/>
                <w:noProof/>
                <w:color w:val="000000"/>
                <w:spacing w:val="1"/>
                <w:sz w:val="28"/>
                <w:szCs w:val="28"/>
              </w:rPr>
              <w:t>середньої</w:t>
            </w:r>
            <w:r w:rsidRPr="00C8397D">
              <w:rPr>
                <w:rFonts w:ascii="Times New Roman" w:hAnsi="Times New Roman"/>
                <w:noProof/>
                <w:color w:val="000000"/>
                <w:spacing w:val="1"/>
                <w:sz w:val="28"/>
                <w:szCs w:val="28"/>
                <w:lang w:val="ru-RU"/>
              </w:rPr>
              <w:t xml:space="preserve"> </w:t>
            </w:r>
            <w:r w:rsidRPr="00C8397D">
              <w:rPr>
                <w:rFonts w:ascii="Times New Roman" w:hAnsi="Times New Roman"/>
                <w:noProof/>
                <w:color w:val="000000"/>
                <w:spacing w:val="-4"/>
                <w:sz w:val="28"/>
                <w:szCs w:val="28"/>
              </w:rPr>
              <w:t>цінової</w:t>
            </w:r>
            <w:r w:rsidRPr="00C8397D">
              <w:rPr>
                <w:rFonts w:ascii="Times New Roman" w:hAnsi="Times New Roman"/>
                <w:noProof/>
                <w:color w:val="000000"/>
                <w:spacing w:val="13"/>
                <w:sz w:val="28"/>
                <w:szCs w:val="28"/>
                <w:lang w:val="ru-RU"/>
              </w:rPr>
              <w:t xml:space="preserve"> </w:t>
            </w:r>
            <w:r w:rsidRPr="00C8397D">
              <w:rPr>
                <w:rFonts w:ascii="Times New Roman" w:hAnsi="Times New Roman"/>
                <w:noProof/>
                <w:color w:val="000000"/>
                <w:spacing w:val="-2"/>
                <w:sz w:val="28"/>
                <w:szCs w:val="28"/>
              </w:rPr>
              <w:t>категорії</w:t>
            </w: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Домус</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30</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6"/>
                <w:sz w:val="28"/>
                <w:szCs w:val="28"/>
              </w:rPr>
              <w:t>Дніпро</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186</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Джинтама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23</w:t>
            </w:r>
          </w:p>
        </w:tc>
      </w:tr>
      <w:tr w:rsidR="00192005" w:rsidRPr="00C8397D" w:rsidTr="00BA5963">
        <w:trPr>
          <w:trHeight w:hRule="exact" w:val="283"/>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Хрещатик</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130</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Київ</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187</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Національний</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75</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Поділ</w:t>
            </w:r>
            <w:r w:rsidRPr="00C8397D">
              <w:rPr>
                <w:rFonts w:ascii="Times New Roman" w:hAnsi="Times New Roman"/>
                <w:noProof/>
                <w:color w:val="000000"/>
                <w:spacing w:val="8"/>
                <w:sz w:val="28"/>
                <w:szCs w:val="28"/>
              </w:rPr>
              <w:t> </w:t>
            </w:r>
            <w:r w:rsidRPr="00C8397D">
              <w:rPr>
                <w:rFonts w:ascii="Times New Roman" w:hAnsi="Times New Roman"/>
                <w:noProof/>
                <w:color w:val="000000"/>
                <w:spacing w:val="2"/>
                <w:sz w:val="28"/>
                <w:szCs w:val="28"/>
              </w:rPr>
              <w:t>плаза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57</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Президент</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221</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7"/>
                <w:sz w:val="28"/>
                <w:szCs w:val="28"/>
              </w:rPr>
              <w:t>Русь</w:t>
            </w:r>
            <w:r w:rsidRPr="00C8397D">
              <w:rPr>
                <w:rFonts w:ascii="Times New Roman" w:hAnsi="Times New Roman"/>
                <w:noProof/>
                <w:color w:val="000000"/>
                <w:spacing w:val="3"/>
                <w:sz w:val="28"/>
                <w:szCs w:val="28"/>
              </w:rPr>
              <w:t> </w:t>
            </w:r>
            <w:r w:rsidRPr="00C8397D">
              <w:rPr>
                <w:rFonts w:ascii="Times New Roman" w:hAnsi="Times New Roman"/>
                <w:noProof/>
                <w:color w:val="000000"/>
                <w:spacing w:val="-4"/>
                <w:sz w:val="28"/>
                <w:szCs w:val="28"/>
              </w:rPr>
              <w:t>Аккорд</w:t>
            </w:r>
            <w:r w:rsidRPr="00C8397D">
              <w:rPr>
                <w:rFonts w:ascii="Times New Roman" w:hAnsi="Times New Roman"/>
                <w:noProof/>
                <w:color w:val="000000"/>
                <w:spacing w:val="-1"/>
                <w:sz w:val="28"/>
                <w:szCs w:val="28"/>
              </w:rPr>
              <w:t> </w:t>
            </w:r>
            <w:r w:rsidRPr="00C8397D">
              <w:rPr>
                <w:rFonts w:ascii="Times New Roman" w:hAnsi="Times New Roman"/>
                <w:noProof/>
                <w:color w:val="000000"/>
                <w:spacing w:val="6"/>
                <w:sz w:val="28"/>
                <w:szCs w:val="28"/>
              </w:rPr>
              <w:t>Отель</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450</w:t>
            </w:r>
          </w:p>
        </w:tc>
      </w:tr>
      <w:tr w:rsidR="00192005" w:rsidRPr="00C8397D" w:rsidTr="00BA5963">
        <w:trPr>
          <w:trHeight w:hRule="exact" w:val="281"/>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3"/>
                <w:sz w:val="28"/>
                <w:szCs w:val="28"/>
              </w:rPr>
              <w:t>Альфавіто</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275</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Україна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370</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Воздвиженський</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25</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Космополітъ</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160</w:t>
            </w:r>
          </w:p>
        </w:tc>
      </w:tr>
      <w:tr w:rsidR="00192005" w:rsidRPr="00C8397D" w:rsidTr="00BA5963">
        <w:trPr>
          <w:trHeight w:hRule="exact" w:val="281"/>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1"/>
                <w:sz w:val="28"/>
                <w:szCs w:val="28"/>
              </w:rPr>
              <w:t>Holiday</w:t>
            </w:r>
            <w:r w:rsidRPr="00C8397D">
              <w:rPr>
                <w:rFonts w:ascii="Times New Roman" w:hAnsi="Times New Roman"/>
                <w:noProof/>
                <w:color w:val="000000"/>
                <w:spacing w:val="4"/>
                <w:sz w:val="28"/>
                <w:szCs w:val="28"/>
              </w:rPr>
              <w:t> </w:t>
            </w:r>
            <w:r w:rsidRPr="00C8397D">
              <w:rPr>
                <w:rFonts w:ascii="Times New Roman" w:hAnsi="Times New Roman"/>
                <w:noProof/>
                <w:color w:val="000000"/>
                <w:sz w:val="28"/>
                <w:szCs w:val="28"/>
              </w:rPr>
              <w:t>Inn</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208</w:t>
            </w:r>
          </w:p>
        </w:tc>
      </w:tr>
      <w:tr w:rsidR="00192005" w:rsidRPr="00C8397D" w:rsidTr="00BA5963">
        <w:trPr>
          <w:trHeight w:hRule="exact" w:val="274"/>
        </w:trPr>
        <w:tc>
          <w:tcPr>
            <w:tcW w:w="2773" w:type="dxa"/>
            <w:vMerge w:val="restart"/>
          </w:tcPr>
          <w:p w:rsidR="00192005" w:rsidRPr="00C8397D" w:rsidRDefault="00192005" w:rsidP="00BA5963">
            <w:pPr>
              <w:spacing w:after="0" w:line="360" w:lineRule="auto"/>
              <w:rPr>
                <w:rFonts w:ascii="Times New Roman" w:hAnsi="Times New Roman"/>
                <w:sz w:val="28"/>
                <w:szCs w:val="28"/>
              </w:rPr>
            </w:pPr>
          </w:p>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1"/>
                <w:sz w:val="28"/>
                <w:szCs w:val="28"/>
              </w:rPr>
              <w:t>Економ</w:t>
            </w:r>
            <w:r w:rsidRPr="00C8397D">
              <w:rPr>
                <w:rFonts w:ascii="Times New Roman" w:hAnsi="Times New Roman"/>
                <w:noProof/>
                <w:color w:val="000000"/>
                <w:spacing w:val="8"/>
                <w:sz w:val="28"/>
                <w:szCs w:val="28"/>
              </w:rPr>
              <w:t> </w:t>
            </w:r>
            <w:r w:rsidRPr="00C8397D">
              <w:rPr>
                <w:rFonts w:ascii="Times New Roman" w:hAnsi="Times New Roman"/>
                <w:noProof/>
                <w:color w:val="000000"/>
                <w:sz w:val="28"/>
                <w:szCs w:val="28"/>
              </w:rPr>
              <w:t>готелі</w:t>
            </w: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3"/>
                <w:sz w:val="28"/>
                <w:szCs w:val="28"/>
              </w:rPr>
              <w:t>Братіслава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337</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Кооператор</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95</w:t>
            </w:r>
          </w:p>
        </w:tc>
      </w:tr>
      <w:tr w:rsidR="00192005" w:rsidRPr="00C8397D" w:rsidTr="00BA5963">
        <w:trPr>
          <w:trHeight w:hRule="exact" w:val="281"/>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2"/>
                <w:sz w:val="28"/>
                <w:szCs w:val="28"/>
              </w:rPr>
              <w:t>Дружба</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175</w:t>
            </w:r>
          </w:p>
        </w:tc>
      </w:tr>
      <w:tr w:rsidR="00192005" w:rsidRPr="00C8397D" w:rsidTr="00BA5963">
        <w:trPr>
          <w:trHeight w:hRule="exact" w:val="420"/>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2"/>
                <w:sz w:val="28"/>
                <w:szCs w:val="28"/>
              </w:rPr>
              <w:t>Експрес</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143</w:t>
            </w:r>
          </w:p>
        </w:tc>
      </w:tr>
      <w:tr w:rsidR="00192005" w:rsidRPr="00C8397D" w:rsidTr="00BA5963">
        <w:trPr>
          <w:trHeight w:hRule="exact" w:val="321"/>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1"/>
                <w:sz w:val="28"/>
                <w:szCs w:val="28"/>
              </w:rPr>
              <w:t>Ibis</w:t>
            </w:r>
            <w:r w:rsidRPr="00C8397D">
              <w:rPr>
                <w:rFonts w:ascii="Times New Roman" w:hAnsi="Times New Roman"/>
                <w:noProof/>
                <w:color w:val="000000"/>
                <w:spacing w:val="9"/>
                <w:sz w:val="28"/>
                <w:szCs w:val="28"/>
              </w:rPr>
              <w:t> </w:t>
            </w:r>
            <w:r w:rsidRPr="00C8397D">
              <w:rPr>
                <w:rFonts w:ascii="Times New Roman" w:hAnsi="Times New Roman"/>
                <w:noProof/>
                <w:color w:val="000000"/>
                <w:spacing w:val="-1"/>
                <w:sz w:val="28"/>
                <w:szCs w:val="28"/>
              </w:rPr>
              <w:t>Kyiv</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Shevchenko</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Boulevard</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212</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3"/>
                <w:sz w:val="28"/>
                <w:szCs w:val="28"/>
              </w:rPr>
              <w:t>Козацький</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130</w:t>
            </w:r>
          </w:p>
        </w:tc>
      </w:tr>
      <w:tr w:rsidR="00192005" w:rsidRPr="00C8397D" w:rsidTr="00BA5963">
        <w:trPr>
          <w:trHeight w:hRule="exact" w:val="278"/>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z w:val="28"/>
                <w:szCs w:val="28"/>
              </w:rPr>
              <w:t>Либідь</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273</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9"/>
                <w:sz w:val="28"/>
                <w:szCs w:val="28"/>
              </w:rPr>
              <w:t>Мир</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270</w:t>
            </w:r>
          </w:p>
        </w:tc>
      </w:tr>
      <w:tr w:rsidR="00192005" w:rsidRPr="00C8397D" w:rsidTr="00BA5963">
        <w:trPr>
          <w:trHeight w:hRule="exact" w:val="281"/>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3"/>
                <w:sz w:val="28"/>
                <w:szCs w:val="28"/>
              </w:rPr>
              <w:t>Санкт</w:t>
            </w:r>
            <w:r w:rsidRPr="00C8397D">
              <w:rPr>
                <w:rFonts w:ascii="Times New Roman" w:hAnsi="Times New Roman"/>
                <w:noProof/>
                <w:color w:val="000000"/>
                <w:spacing w:val="-1"/>
                <w:sz w:val="28"/>
                <w:szCs w:val="28"/>
              </w:rPr>
              <w:t> </w:t>
            </w:r>
            <w:r w:rsidRPr="00C8397D">
              <w:rPr>
                <w:rFonts w:ascii="Times New Roman" w:hAnsi="Times New Roman"/>
                <w:noProof/>
                <w:color w:val="000000"/>
                <w:sz w:val="28"/>
                <w:szCs w:val="28"/>
              </w:rPr>
              <w:t>Петербург</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50</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5"/>
                <w:sz w:val="28"/>
                <w:szCs w:val="28"/>
              </w:rPr>
              <w:t>Салют</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pacing w:val="-2"/>
                <w:sz w:val="28"/>
                <w:szCs w:val="28"/>
              </w:rPr>
              <w:t>90</w:t>
            </w:r>
          </w:p>
        </w:tc>
      </w:tr>
      <w:tr w:rsidR="00192005" w:rsidRPr="00C8397D" w:rsidTr="00BA5963">
        <w:trPr>
          <w:trHeight w:hRule="exact" w:val="274"/>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position w:val="3"/>
                <w:sz w:val="28"/>
                <w:szCs w:val="28"/>
              </w:rPr>
              <w:t>«</w:t>
            </w:r>
            <w:r w:rsidRPr="00C8397D">
              <w:rPr>
                <w:rFonts w:ascii="Times New Roman" w:hAnsi="Times New Roman"/>
                <w:noProof/>
                <w:color w:val="000000"/>
                <w:spacing w:val="1"/>
                <w:sz w:val="28"/>
                <w:szCs w:val="28"/>
              </w:rPr>
              <w:t>Турист</w:t>
            </w:r>
            <w:r w:rsidRPr="00C8397D">
              <w:rPr>
                <w:rFonts w:ascii="Times New Roman" w:hAnsi="Times New Roman"/>
                <w:noProof/>
                <w:color w:val="000000"/>
                <w:position w:val="3"/>
                <w:sz w:val="28"/>
                <w:szCs w:val="28"/>
              </w:rPr>
              <w:t>»</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378</w:t>
            </w:r>
          </w:p>
        </w:tc>
      </w:tr>
      <w:tr w:rsidR="00192005" w:rsidRPr="00C8397D" w:rsidTr="00BA5963">
        <w:trPr>
          <w:trHeight w:hRule="exact" w:val="276"/>
        </w:trPr>
        <w:tc>
          <w:tcPr>
            <w:tcW w:w="2773" w:type="dxa"/>
            <w:vMerge/>
          </w:tcPr>
          <w:p w:rsidR="00192005" w:rsidRPr="00C8397D" w:rsidRDefault="00192005" w:rsidP="00BA5963">
            <w:pPr>
              <w:spacing w:after="0" w:line="360" w:lineRule="auto"/>
              <w:rPr>
                <w:rFonts w:ascii="Times New Roman" w:hAnsi="Times New Roman"/>
                <w:sz w:val="28"/>
                <w:szCs w:val="28"/>
              </w:rPr>
            </w:pPr>
          </w:p>
        </w:tc>
        <w:tc>
          <w:tcPr>
            <w:tcW w:w="4374" w:type="dxa"/>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z w:val="28"/>
                <w:szCs w:val="28"/>
              </w:rPr>
              <w:t>Ramada Encore</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sz w:val="28"/>
                <w:szCs w:val="28"/>
              </w:rPr>
              <w:t>322</w:t>
            </w:r>
          </w:p>
        </w:tc>
      </w:tr>
      <w:tr w:rsidR="00192005" w:rsidRPr="00C8397D" w:rsidTr="00BA5963">
        <w:trPr>
          <w:trHeight w:hRule="exact" w:val="281"/>
        </w:trPr>
        <w:tc>
          <w:tcPr>
            <w:tcW w:w="7147" w:type="dxa"/>
            <w:gridSpan w:val="2"/>
          </w:tcPr>
          <w:p w:rsidR="00192005" w:rsidRPr="00C8397D" w:rsidRDefault="00192005" w:rsidP="00BA5963">
            <w:pPr>
              <w:spacing w:after="0" w:line="360" w:lineRule="auto"/>
              <w:rPr>
                <w:rFonts w:ascii="Times New Roman" w:hAnsi="Times New Roman"/>
                <w:sz w:val="28"/>
                <w:szCs w:val="28"/>
              </w:rPr>
            </w:pPr>
            <w:r w:rsidRPr="00C8397D">
              <w:rPr>
                <w:rFonts w:ascii="Times New Roman" w:hAnsi="Times New Roman"/>
                <w:noProof/>
                <w:color w:val="000000"/>
                <w:spacing w:val="11"/>
                <w:sz w:val="28"/>
                <w:szCs w:val="28"/>
              </w:rPr>
              <w:t>Всього</w:t>
            </w:r>
          </w:p>
        </w:tc>
        <w:tc>
          <w:tcPr>
            <w:tcW w:w="2681" w:type="dxa"/>
          </w:tcPr>
          <w:p w:rsidR="00192005" w:rsidRPr="00C8397D" w:rsidRDefault="00192005" w:rsidP="00BA5963">
            <w:pPr>
              <w:spacing w:after="0" w:line="360" w:lineRule="auto"/>
              <w:jc w:val="center"/>
              <w:rPr>
                <w:rFonts w:ascii="Times New Roman" w:hAnsi="Times New Roman"/>
                <w:sz w:val="28"/>
                <w:szCs w:val="28"/>
              </w:rPr>
            </w:pPr>
            <w:r w:rsidRPr="00C8397D">
              <w:rPr>
                <w:rFonts w:ascii="Times New Roman" w:hAnsi="Times New Roman"/>
                <w:noProof/>
                <w:color w:val="000000"/>
                <w:w w:val="94"/>
                <w:sz w:val="28"/>
                <w:szCs w:val="28"/>
              </w:rPr>
              <w:t>6</w:t>
            </w:r>
            <w:r w:rsidRPr="00C8397D">
              <w:rPr>
                <w:rFonts w:ascii="Times New Roman" w:hAnsi="Times New Roman"/>
                <w:noProof/>
                <w:color w:val="000000"/>
                <w:spacing w:val="9"/>
                <w:sz w:val="28"/>
                <w:szCs w:val="28"/>
              </w:rPr>
              <w:t> </w:t>
            </w:r>
            <w:r w:rsidRPr="00C8397D">
              <w:rPr>
                <w:rFonts w:ascii="Times New Roman" w:hAnsi="Times New Roman"/>
                <w:noProof/>
                <w:color w:val="000000"/>
                <w:w w:val="94"/>
                <w:sz w:val="28"/>
                <w:szCs w:val="28"/>
              </w:rPr>
              <w:t>444</w:t>
            </w:r>
          </w:p>
        </w:tc>
      </w:tr>
    </w:tbl>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початок 2011 року загальна кількість номерів у готелях, розташованих у Києві, знизилась на 2,6% з року на рік, як результат реконструкції деяких готелів. Упродовж останніх 10 років кількість готелів та інших видів короткострокового проживання в Києві збільшилася на 48%, з 90 готелів у 2001 році до 133 готелів у 2011 році, що відображає збільшення на 1 992 номери, або 20% від загальної кількості номерів у місті.</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Збільшення розвитку ринку готельної нерухомості був найбільш інтенсивним починаючи з 2005 року.</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5048885" cy="282130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l="3923" t="30688" r="63292" b="36610"/>
                    <a:stretch>
                      <a:fillRect/>
                    </a:stretch>
                  </pic:blipFill>
                  <pic:spPr bwMode="auto">
                    <a:xfrm>
                      <a:off x="0" y="0"/>
                      <a:ext cx="5048885" cy="2821305"/>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4.3.2.5</w:t>
      </w:r>
      <w:r w:rsidRPr="00C8397D">
        <w:rPr>
          <w:rFonts w:ascii="Times New Roman" w:hAnsi="Times New Roman"/>
          <w:sz w:val="28"/>
          <w:szCs w:val="28"/>
          <w:lang w:val="uk-UA"/>
        </w:rPr>
        <w:t xml:space="preserve"> - Структура готельної пропозиції у місті Київ, липень 2012 року</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Києві є тільки два міжнародно-оперованих готеля, які позиціонуються в економ сегменті: Ibis оперований компанією Accor Group, та Ramada Encore представлений компанією Wyndham Hotel Group International.</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Готель Ibis був єдиним міжнародним готелем відкритим у 2011 році, в той час як Fairmont Grand Hotel Kyiv, Holiday Inn та Ramada Encore були відкриті впродовж першої половини 2012 року. Протягом 2010 року в Києві не було відкрито жодного міжнародного мережевого готеля, в той час як у 2009 році був відкритий готель Intercontinental.</w:t>
      </w:r>
    </w:p>
    <w:p w:rsidR="00192005" w:rsidRPr="00C8397D" w:rsidRDefault="00192005" w:rsidP="00192005">
      <w:pPr>
        <w:tabs>
          <w:tab w:val="left" w:pos="990"/>
        </w:tabs>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Основні показники ефективності готельної нерухомості у місті Київ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Для аналізу основних показників ефективності роботи готелів у Києві були проаналізовані дані з наступних готелів:</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Hyatt Regency</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InterContinental</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«Опера»</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«Прем’єр Палац»</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Radisson Blu</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4231640" cy="217868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l="5949" t="44243" r="65216" b="29735"/>
                    <a:stretch>
                      <a:fillRect/>
                    </a:stretch>
                  </pic:blipFill>
                  <pic:spPr bwMode="auto">
                    <a:xfrm>
                      <a:off x="0" y="0"/>
                      <a:ext cx="4231640" cy="2178685"/>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w:t>
      </w:r>
      <w:r w:rsidRPr="00C8397D">
        <w:rPr>
          <w:rFonts w:ascii="Times New Roman" w:hAnsi="Times New Roman"/>
          <w:sz w:val="28"/>
          <w:szCs w:val="28"/>
          <w:lang w:val="uk-UA"/>
        </w:rPr>
        <w:t>2.6 - Основні зведені показники ефективності готелів у місті Київ, 2008 – 2011 рік</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Аналіз історичного рівня завантаженості готелів у Києві визначив значне зниження з 62,7% у 2008 році до 45,9% у 2009 році. У 2010 році середній рівень завантаженості готелів показав невеликій зріст до 53.5%.</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Середній рівень завантаженості готелів у Києві у 2011 році становив 60,4%.</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550285" cy="2150110"/>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l="11641" t="26537" r="61455" b="44533"/>
                    <a:stretch>
                      <a:fillRect/>
                    </a:stretch>
                  </pic:blipFill>
                  <pic:spPr bwMode="auto">
                    <a:xfrm>
                      <a:off x="0" y="0"/>
                      <a:ext cx="3550285" cy="2150110"/>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4.3.2</w:t>
      </w:r>
      <w:r w:rsidRPr="00C8397D">
        <w:rPr>
          <w:rFonts w:ascii="Times New Roman" w:hAnsi="Times New Roman"/>
          <w:sz w:val="28"/>
          <w:szCs w:val="28"/>
          <w:lang w:val="ru-RU"/>
        </w:rPr>
        <w:t>.7 - Історичні данні щодо завантаженості готелів у місті Київ, 2008 - січень-квітень 2012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903"/>
        <w:gridCol w:w="1895"/>
        <w:gridCol w:w="1895"/>
        <w:gridCol w:w="1894"/>
      </w:tblGrid>
      <w:tr w:rsidR="00192005" w:rsidRPr="00C8397D" w:rsidTr="00BA5963">
        <w:tc>
          <w:tcPr>
            <w:tcW w:w="1970" w:type="dxa"/>
          </w:tcPr>
          <w:p w:rsidR="00192005" w:rsidRPr="00C8397D" w:rsidRDefault="00192005" w:rsidP="00BA5963">
            <w:pPr>
              <w:tabs>
                <w:tab w:val="left" w:pos="990"/>
              </w:tabs>
              <w:spacing w:after="0" w:line="360" w:lineRule="auto"/>
              <w:jc w:val="center"/>
              <w:rPr>
                <w:rFonts w:ascii="Times New Roman" w:hAnsi="Times New Roman"/>
                <w:sz w:val="28"/>
                <w:szCs w:val="28"/>
                <w:lang w:val="uk-UA"/>
              </w:rPr>
            </w:pPr>
            <w:r w:rsidRPr="00C8397D">
              <w:rPr>
                <w:rFonts w:ascii="Times New Roman" w:hAnsi="Times New Roman"/>
                <w:sz w:val="28"/>
                <w:szCs w:val="28"/>
                <w:lang w:val="ru-RU"/>
              </w:rPr>
              <w:t>Середньорічна</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2008*</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2009</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2010</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2011</w:t>
            </w:r>
          </w:p>
        </w:tc>
      </w:tr>
      <w:tr w:rsidR="00192005" w:rsidRPr="00C8397D" w:rsidTr="00BA5963">
        <w:tc>
          <w:tcPr>
            <w:tcW w:w="1970"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62,7</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45,9</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53,5</w:t>
            </w:r>
          </w:p>
        </w:tc>
        <w:tc>
          <w:tcPr>
            <w:tcW w:w="1971" w:type="dxa"/>
          </w:tcPr>
          <w:p w:rsidR="00192005" w:rsidRPr="00C8397D" w:rsidRDefault="00192005" w:rsidP="00BA5963">
            <w:pPr>
              <w:tabs>
                <w:tab w:val="left" w:pos="990"/>
              </w:tabs>
              <w:spacing w:after="0" w:line="360" w:lineRule="auto"/>
              <w:jc w:val="center"/>
              <w:rPr>
                <w:rFonts w:ascii="Times New Roman" w:hAnsi="Times New Roman"/>
                <w:sz w:val="28"/>
                <w:szCs w:val="28"/>
                <w:lang w:val="ru-RU"/>
              </w:rPr>
            </w:pPr>
            <w:r w:rsidRPr="00C8397D">
              <w:rPr>
                <w:rFonts w:ascii="Times New Roman" w:hAnsi="Times New Roman"/>
                <w:sz w:val="28"/>
                <w:szCs w:val="28"/>
                <w:lang w:val="ru-RU"/>
              </w:rPr>
              <w:t>60,4</w:t>
            </w:r>
          </w:p>
        </w:tc>
      </w:tr>
    </w:tbl>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 квітень-грудень</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extent cx="3774440" cy="22860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l="11594" t="41122" r="59457" b="27609"/>
                    <a:stretch>
                      <a:fillRect/>
                    </a:stretch>
                  </pic:blipFill>
                  <pic:spPr bwMode="auto">
                    <a:xfrm>
                      <a:off x="0" y="0"/>
                      <a:ext cx="3774440" cy="2286000"/>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w:t>
      </w:r>
      <w:r w:rsidRPr="00C8397D">
        <w:rPr>
          <w:rFonts w:ascii="Times New Roman" w:hAnsi="Times New Roman"/>
          <w:sz w:val="28"/>
          <w:szCs w:val="28"/>
          <w:lang w:val="ru-RU"/>
        </w:rPr>
        <w:t>3.2.8 - Порівняння рівнів завантаженості у місті Київ у 2010 та 2011 роках</w:t>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Починаючи з 2008 року рівень ADR у готелях стабілізувався на рівні 2 048,51 грн. (EUR 206.32). У 2010 році рівень ADR знизився до 1 968,00 грн. (Euro 198.21). До кінця 2011 року рівень ADR перевищив рівень 2008 року, та був зареєстрований на рівні 2 136,96 грн. (EUR 215.23).</w:t>
      </w:r>
    </w:p>
    <w:p w:rsidR="00192005" w:rsidRPr="00C8397D" w:rsidRDefault="00192005" w:rsidP="00192005">
      <w:pPr>
        <w:tabs>
          <w:tab w:val="left" w:pos="990"/>
        </w:tabs>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657600" cy="21399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l="11641" t="36841" r="62201" b="35756"/>
                    <a:stretch>
                      <a:fillRect/>
                    </a:stretch>
                  </pic:blipFill>
                  <pic:spPr bwMode="auto">
                    <a:xfrm>
                      <a:off x="0" y="0"/>
                      <a:ext cx="3657600" cy="2139950"/>
                    </a:xfrm>
                    <a:prstGeom prst="rect">
                      <a:avLst/>
                    </a:prstGeom>
                    <a:noFill/>
                    <a:ln>
                      <a:noFill/>
                    </a:ln>
                  </pic:spPr>
                </pic:pic>
              </a:graphicData>
            </a:graphic>
          </wp:inline>
        </w:drawing>
      </w:r>
    </w:p>
    <w:p w:rsidR="00192005" w:rsidRPr="00C8397D" w:rsidRDefault="00192005" w:rsidP="00192005">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Рисунок 4.3.2</w:t>
      </w:r>
      <w:r w:rsidRPr="00C8397D">
        <w:rPr>
          <w:rFonts w:ascii="Times New Roman" w:hAnsi="Times New Roman"/>
          <w:sz w:val="28"/>
          <w:szCs w:val="28"/>
          <w:lang w:val="ru-RU"/>
        </w:rPr>
        <w:t>.9 - Історичні дані з ADR у місті Київ, 2008 – Q1 2012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896"/>
        <w:gridCol w:w="1897"/>
        <w:gridCol w:w="1897"/>
        <w:gridCol w:w="1897"/>
      </w:tblGrid>
      <w:tr w:rsidR="00192005" w:rsidRPr="00C8397D" w:rsidTr="00BA5963">
        <w:tc>
          <w:tcPr>
            <w:tcW w:w="1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Середньорічна</w:t>
            </w:r>
          </w:p>
        </w:tc>
        <w:tc>
          <w:tcPr>
            <w:tcW w:w="1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2008*</w:t>
            </w:r>
          </w:p>
        </w:tc>
        <w:tc>
          <w:tcPr>
            <w:tcW w:w="1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2009</w:t>
            </w:r>
          </w:p>
        </w:tc>
        <w:tc>
          <w:tcPr>
            <w:tcW w:w="1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2010</w:t>
            </w:r>
          </w:p>
        </w:tc>
        <w:tc>
          <w:tcPr>
            <w:tcW w:w="191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2011</w:t>
            </w:r>
          </w:p>
        </w:tc>
      </w:tr>
      <w:tr w:rsidR="00192005" w:rsidRPr="00C8397D" w:rsidTr="00BA5963">
        <w:tc>
          <w:tcPr>
            <w:tcW w:w="1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UAN</w:t>
            </w:r>
          </w:p>
        </w:tc>
        <w:tc>
          <w:tcPr>
            <w:tcW w:w="191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2048</w:t>
            </w:r>
            <w:r w:rsidRPr="00C8397D">
              <w:rPr>
                <w:rFonts w:ascii="Times New Roman" w:hAnsi="Times New Roman"/>
                <w:sz w:val="28"/>
                <w:szCs w:val="28"/>
                <w:lang w:val="uk-UA"/>
              </w:rPr>
              <w:t>,51</w:t>
            </w:r>
          </w:p>
        </w:tc>
        <w:tc>
          <w:tcPr>
            <w:tcW w:w="191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2267,07</w:t>
            </w:r>
          </w:p>
        </w:tc>
        <w:tc>
          <w:tcPr>
            <w:tcW w:w="1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1968,00</w:t>
            </w:r>
          </w:p>
        </w:tc>
        <w:tc>
          <w:tcPr>
            <w:tcW w:w="19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2136,96</w:t>
            </w:r>
          </w:p>
        </w:tc>
      </w:tr>
      <w:tr w:rsidR="00192005" w:rsidRPr="00C8397D" w:rsidTr="00BA5963">
        <w:tc>
          <w:tcPr>
            <w:tcW w:w="191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EUR</w:t>
            </w:r>
          </w:p>
        </w:tc>
        <w:tc>
          <w:tcPr>
            <w:tcW w:w="1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206,32</w:t>
            </w:r>
          </w:p>
        </w:tc>
        <w:tc>
          <w:tcPr>
            <w:tcW w:w="1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228,33</w:t>
            </w:r>
          </w:p>
        </w:tc>
        <w:tc>
          <w:tcPr>
            <w:tcW w:w="1914"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198,21</w:t>
            </w:r>
          </w:p>
        </w:tc>
        <w:tc>
          <w:tcPr>
            <w:tcW w:w="19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215,23</w:t>
            </w:r>
          </w:p>
        </w:tc>
      </w:tr>
    </w:tbl>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*=квітень-грудень</w:t>
      </w:r>
    </w:p>
    <w:p w:rsidR="00192005" w:rsidRPr="00C8397D" w:rsidRDefault="00192005" w:rsidP="00192005">
      <w:pPr>
        <w:spacing w:after="0" w:line="360" w:lineRule="auto"/>
        <w:ind w:firstLine="709"/>
        <w:jc w:val="both"/>
        <w:rPr>
          <w:rFonts w:ascii="Times New Roman" w:hAnsi="Times New Roman"/>
          <w:sz w:val="28"/>
          <w:szCs w:val="28"/>
          <w:lang w:val="ru-RU"/>
        </w:rPr>
      </w:pPr>
    </w:p>
    <w:p w:rsidR="00192005" w:rsidRPr="00C8397D" w:rsidRDefault="00192005" w:rsidP="00192005">
      <w:pPr>
        <w:spacing w:after="0" w:line="360" w:lineRule="auto"/>
        <w:ind w:firstLine="709"/>
        <w:jc w:val="both"/>
        <w:rPr>
          <w:rFonts w:ascii="Times New Roman" w:hAnsi="Times New Roman"/>
          <w:sz w:val="28"/>
          <w:szCs w:val="28"/>
          <w:lang w:val="ru-RU"/>
        </w:rPr>
      </w:pPr>
    </w:p>
    <w:p w:rsidR="00192005" w:rsidRPr="00C8397D" w:rsidRDefault="00192005" w:rsidP="00192005">
      <w:pPr>
        <w:spacing w:after="0" w:line="360" w:lineRule="auto"/>
        <w:ind w:firstLine="709"/>
        <w:jc w:val="both"/>
        <w:rPr>
          <w:rFonts w:ascii="Times New Roman" w:hAnsi="Times New Roman"/>
          <w:sz w:val="28"/>
          <w:szCs w:val="28"/>
          <w:lang w:val="ru-RU"/>
        </w:rPr>
      </w:pP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extent cx="4474845" cy="2383155"/>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l="11627" t="37737" r="59486" b="34972"/>
                    <a:stretch>
                      <a:fillRect/>
                    </a:stretch>
                  </pic:blipFill>
                  <pic:spPr bwMode="auto">
                    <a:xfrm>
                      <a:off x="0" y="0"/>
                      <a:ext cx="4474845" cy="238315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4.3.2</w:t>
      </w:r>
      <w:r w:rsidRPr="00C8397D">
        <w:rPr>
          <w:rFonts w:ascii="Times New Roman" w:hAnsi="Times New Roman"/>
          <w:sz w:val="28"/>
          <w:szCs w:val="28"/>
          <w:lang w:val="ru-RU"/>
        </w:rPr>
        <w:t>.10 - Порівняння рівнів ADR у місті Київ, 2010-2011</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Як функція завантаженості та рівня </w:t>
      </w:r>
      <w:r w:rsidRPr="00C8397D">
        <w:rPr>
          <w:rFonts w:ascii="Times New Roman" w:hAnsi="Times New Roman"/>
          <w:sz w:val="28"/>
          <w:szCs w:val="28"/>
        </w:rPr>
        <w:t>ADR</w:t>
      </w:r>
      <w:r w:rsidRPr="00C8397D">
        <w:rPr>
          <w:rFonts w:ascii="Times New Roman" w:hAnsi="Times New Roman"/>
          <w:sz w:val="28"/>
          <w:szCs w:val="28"/>
          <w:lang w:val="ru-RU"/>
        </w:rPr>
        <w:t xml:space="preserve">, </w:t>
      </w:r>
      <w:r w:rsidRPr="00C8397D">
        <w:rPr>
          <w:rFonts w:ascii="Times New Roman" w:hAnsi="Times New Roman"/>
          <w:sz w:val="28"/>
          <w:szCs w:val="28"/>
        </w:rPr>
        <w:t>RevPAR</w:t>
      </w:r>
      <w:r w:rsidRPr="00C8397D">
        <w:rPr>
          <w:rFonts w:ascii="Times New Roman" w:hAnsi="Times New Roman"/>
          <w:sz w:val="28"/>
          <w:szCs w:val="28"/>
          <w:lang w:val="ru-RU"/>
        </w:rPr>
        <w:t xml:space="preserve"> відображає вплив фінансової кризи 2009 року, та показує недавнє відновлення ринку, що відбулося у 2011 році до рівню спостережуваного у 2008 році. У 2008 році RevPAR становив 1 288,35 грн. (EUR 129,76), однак у 2009 році цей показник знизився до 1 037,75 грн. (EUR 104,52) з подальшим відновленням понад рівня спостережуваного у 2008 році, до відмітки у 1 328,53 грн. (EUR 133.80).</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550285" cy="221805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l="11594" t="27545" r="61255" b="42450"/>
                    <a:stretch>
                      <a:fillRect/>
                    </a:stretch>
                  </pic:blipFill>
                  <pic:spPr bwMode="auto">
                    <a:xfrm>
                      <a:off x="0" y="0"/>
                      <a:ext cx="3550285" cy="2218055"/>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Рисунок 4.3.2.11</w:t>
      </w:r>
      <w:r w:rsidRPr="00C8397D">
        <w:rPr>
          <w:rFonts w:ascii="Times New Roman" w:hAnsi="Times New Roman"/>
          <w:sz w:val="28"/>
          <w:szCs w:val="28"/>
          <w:lang w:val="ru-RU"/>
        </w:rPr>
        <w:t xml:space="preserve"> - Історичні дані з RevPAR у місті Київ, 2008 – Q1 2012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764"/>
        <w:gridCol w:w="1763"/>
        <w:gridCol w:w="1763"/>
        <w:gridCol w:w="1763"/>
      </w:tblGrid>
      <w:tr w:rsidR="00192005" w:rsidRPr="00C8397D" w:rsidTr="00BA5963">
        <w:tc>
          <w:tcPr>
            <w:tcW w:w="256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Середньорічна</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2008*</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2009</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2010</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2011</w:t>
            </w:r>
          </w:p>
        </w:tc>
      </w:tr>
      <w:tr w:rsidR="00192005" w:rsidRPr="00C8397D" w:rsidTr="00BA5963">
        <w:tc>
          <w:tcPr>
            <w:tcW w:w="256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2"/>
                <w:w w:val="94"/>
                <w:sz w:val="28"/>
                <w:szCs w:val="28"/>
              </w:rPr>
              <w:t>UAH</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1 </w:t>
            </w:r>
            <w:r w:rsidRPr="00C8397D">
              <w:rPr>
                <w:rFonts w:ascii="Times New Roman" w:hAnsi="Times New Roman"/>
                <w:noProof/>
                <w:color w:val="000000"/>
                <w:spacing w:val="-3"/>
                <w:sz w:val="28"/>
                <w:szCs w:val="28"/>
              </w:rPr>
              <w:t>288,35</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1 </w:t>
            </w:r>
            <w:r w:rsidRPr="00C8397D">
              <w:rPr>
                <w:rFonts w:ascii="Times New Roman" w:hAnsi="Times New Roman"/>
                <w:noProof/>
                <w:color w:val="000000"/>
                <w:spacing w:val="-3"/>
                <w:sz w:val="28"/>
                <w:szCs w:val="28"/>
              </w:rPr>
              <w:t>037,75</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1 </w:t>
            </w:r>
            <w:r w:rsidRPr="00C8397D">
              <w:rPr>
                <w:rFonts w:ascii="Times New Roman" w:hAnsi="Times New Roman"/>
                <w:noProof/>
                <w:color w:val="000000"/>
                <w:spacing w:val="-3"/>
                <w:sz w:val="28"/>
                <w:szCs w:val="28"/>
              </w:rPr>
              <w:t>051,07</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1 </w:t>
            </w:r>
            <w:r w:rsidRPr="00C8397D">
              <w:rPr>
                <w:rFonts w:ascii="Times New Roman" w:hAnsi="Times New Roman"/>
                <w:noProof/>
                <w:color w:val="000000"/>
                <w:spacing w:val="-3"/>
                <w:sz w:val="28"/>
                <w:szCs w:val="28"/>
              </w:rPr>
              <w:t>328,53</w:t>
            </w:r>
          </w:p>
        </w:tc>
      </w:tr>
      <w:tr w:rsidR="00192005" w:rsidRPr="00C8397D" w:rsidTr="00BA5963">
        <w:tc>
          <w:tcPr>
            <w:tcW w:w="256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2"/>
                <w:w w:val="94"/>
                <w:sz w:val="28"/>
                <w:szCs w:val="28"/>
              </w:rPr>
              <w:t>EUR</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129,76</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104,52</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105,86</w:t>
            </w:r>
          </w:p>
        </w:tc>
        <w:tc>
          <w:tcPr>
            <w:tcW w:w="181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133,80</w:t>
            </w:r>
          </w:p>
        </w:tc>
      </w:tr>
    </w:tbl>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*=квітень-грудень</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Майбутня пропозиція на ринку готельної нерухомості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На додаток до восьми готельних мереж, які вже присутні на ринку (Hyatt, Carlson Rezidor, Intercontinental, Wyndham, Rixos, Best Western, Accor та Starwood), кілька міжнародних готельних операторів планують/розвивають свої проекти у Києві, а саме Hilton, Carlson Rezidor, Accor, Intercontinental, Wyndham, Marriott та Starwood. Проекти готелів, що планується до відкритя у коротко та середньостроковій перспективі включають наступні: Sheraton Kyiv Olympiysky, Hilton Kyiv, Holiday Inn, Marriott, Radisson Blu та кілька локальних, немережевих готелів. У таблиці нижче наведений перелік готелів, що реалізуються.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4.3.2.</w:t>
      </w:r>
      <w:r w:rsidRPr="00C8397D">
        <w:rPr>
          <w:rFonts w:ascii="Times New Roman" w:hAnsi="Times New Roman"/>
          <w:sz w:val="28"/>
          <w:szCs w:val="28"/>
          <w:lang w:val="ru-RU"/>
        </w:rPr>
        <w:t>5 - Майбутня пропозиція на ринку готельної нерухомості, липень 2012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2436"/>
        <w:gridCol w:w="1390"/>
        <w:gridCol w:w="1879"/>
        <w:gridCol w:w="2188"/>
      </w:tblGrid>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 проекту</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Позиціонування</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Кількість номерів</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Орієнтована дата завершення будівництва</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Поточний статус</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 xml:space="preserve">Hilton Kyiv </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Преміум класс</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Технічне відкриття відкладено на осінь 2012 року</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Sheraton Kyiv Olympiysky</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Готелі вищої середньої цінової категорії</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Технічне відкриття відкладено на кінець 2012 / початок 2013 року</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Swissotel</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Готелі вищої середньої цінової категорії</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2014-2015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Реконцепція проекту</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 xml:space="preserve">Leipzig Marriott </w:t>
            </w:r>
            <w:r w:rsidRPr="00C8397D">
              <w:rPr>
                <w:rFonts w:ascii="Times New Roman" w:hAnsi="Times New Roman"/>
                <w:sz w:val="28"/>
                <w:szCs w:val="28"/>
              </w:rPr>
              <w:lastRenderedPageBreak/>
              <w:t>Renaissance</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 xml:space="preserve">Готелі вищої середньої цінової </w:t>
            </w:r>
            <w:r w:rsidRPr="00C8397D">
              <w:rPr>
                <w:rFonts w:ascii="Times New Roman" w:hAnsi="Times New Roman"/>
                <w:sz w:val="28"/>
                <w:szCs w:val="28"/>
                <w:lang w:val="ru-RU"/>
              </w:rPr>
              <w:lastRenderedPageBreak/>
              <w:t>категорії</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173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Технічне відкриття </w:t>
            </w:r>
            <w:r w:rsidRPr="00C8397D">
              <w:rPr>
                <w:rFonts w:ascii="Times New Roman" w:hAnsi="Times New Roman"/>
                <w:sz w:val="28"/>
                <w:szCs w:val="28"/>
                <w:lang w:val="ru-RU"/>
              </w:rPr>
              <w:lastRenderedPageBreak/>
              <w:t>відкладено на кінець 2012 / початок 2013 року</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Radisson Blu</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Готелі вищої середньої цінової категорії</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Кінець 2012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Ведеться будівництво</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City Hotel</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Готелі вищої середньої цінової категорії</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Технічне відкриття відкладено на кінець 2012 / початок 2013 року</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ComfortLine</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Економ готелі</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Кінець 2014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Підготовка земельної ділянки</w:t>
            </w:r>
          </w:p>
        </w:tc>
      </w:tr>
      <w:tr w:rsidR="00192005" w:rsidRPr="00C8397D" w:rsidTr="00BA5963">
        <w:tc>
          <w:tcPr>
            <w:tcW w:w="1548"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Park Inn</w:t>
            </w:r>
          </w:p>
        </w:tc>
        <w:tc>
          <w:tcPr>
            <w:tcW w:w="243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Економі готелі</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Ведуться роботи по реконструкції готелю</w:t>
            </w:r>
          </w:p>
        </w:tc>
      </w:tr>
      <w:tr w:rsidR="00192005" w:rsidRPr="00C8397D" w:rsidTr="00BA5963">
        <w:tc>
          <w:tcPr>
            <w:tcW w:w="0" w:type="auto"/>
            <w:gridSpan w:val="2"/>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Всього</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1468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p>
        </w:tc>
      </w:tr>
    </w:tbl>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4785995" cy="22180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l="7750" t="37700" r="59486" b="34972"/>
                    <a:stretch>
                      <a:fillRect/>
                    </a:stretch>
                  </pic:blipFill>
                  <pic:spPr bwMode="auto">
                    <a:xfrm>
                      <a:off x="0" y="0"/>
                      <a:ext cx="4785995" cy="2218055"/>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uk-UA"/>
        </w:rPr>
        <w:t>Рисунок</w:t>
      </w:r>
      <w:r w:rsidRPr="00C8397D">
        <w:rPr>
          <w:rFonts w:ascii="Times New Roman" w:hAnsi="Times New Roman"/>
          <w:sz w:val="28"/>
          <w:szCs w:val="28"/>
          <w:highlight w:val="yellow"/>
          <w:lang w:val="ru-RU"/>
        </w:rPr>
        <w:t xml:space="preserve"> 4.3.2.12</w:t>
      </w:r>
      <w:r w:rsidRPr="00C8397D">
        <w:rPr>
          <w:rFonts w:ascii="Times New Roman" w:hAnsi="Times New Roman"/>
          <w:sz w:val="28"/>
          <w:szCs w:val="28"/>
          <w:lang w:val="ru-RU"/>
        </w:rPr>
        <w:t xml:space="preserve"> - Структура майбутньої пропозиції готельного сектору </w:t>
      </w:r>
      <w:r w:rsidRPr="00C8397D">
        <w:rPr>
          <w:rFonts w:ascii="Times New Roman" w:hAnsi="Times New Roman"/>
          <w:sz w:val="28"/>
          <w:szCs w:val="28"/>
          <w:lang w:val="ru-RU"/>
        </w:rPr>
        <w:lastRenderedPageBreak/>
        <w:t>у місті Київ, липень 2012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Частка майбутньої пропозиції по відношенню до існуючої, якісної пропозиції в розмірі 6 444 номерів становить 22,8%. Таким чином, ринок готельної нерухомості буде залежати від стабільного зросту пропозиції для того щоб задовольнити попит. Оцінка попиту, викладена нижче, свідчить про те що, майбутня пропозиція, заявлена до реалізації у місті Київ на час аналізу, відображає лише 49,4 - 53,5% від загальної потреби у якісних готельних номерах до 2022 року.</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i/>
          <w:sz w:val="28"/>
          <w:szCs w:val="28"/>
          <w:lang w:val="ru-RU"/>
        </w:rPr>
        <w:t>Інтерв’ю з операторами готельної нерухомості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Проведено інтерв’ю з трьома міжнародними операторами, присутніми на ринку готельної нерухомості у місті Київ для оцінки їх бачення перспектив ринку. Резюме відповідей наведено нижче.</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Готельний оператор №1</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Впродовж 2-3 років існує ризик перенасичення готелями преміум та вище середньої цінової категорій.</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Цілком ймовірно, що впродовж наступних 5 років ринок готельної нерухомості переорієнтується на розвиток готелів середньої та економ цінових категорій.</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Очікується зниження рівня ADR, головним чином як результат впровадження більш низького рівня ADR у розмірі EUR 100, у таких конкуруючих місцях як Варшава, Санкт-Петербург та Москва.</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Для розкішних та висококласних готелів використовується внутрішнє техніко-економічне обґрунтування в розмірі мінімум ADR EUR 150, та зростає до EUR 175 впродовж 5 річного стабілізаційного періоду. Початкова завантаженість готелю закладається на рівні 50% з цільовим стабілізаційним рівнем в розмірі 65%. Валовий прибуток від основної діяльності (GOP) готелів розраховується в розмірі 45% для розкішних та висококласних готелів, в той час як для готелів нижчої цінової категорії цей показник може становити 50+%.</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Міжнародний мережевий готель економ класу потенційно може </w:t>
      </w:r>
      <w:r w:rsidRPr="00C8397D">
        <w:rPr>
          <w:rFonts w:ascii="Times New Roman" w:hAnsi="Times New Roman"/>
          <w:sz w:val="28"/>
          <w:szCs w:val="28"/>
          <w:lang w:val="ru-RU"/>
        </w:rPr>
        <w:lastRenderedPageBreak/>
        <w:t>оперувати закладаючи валовий прибуток від основної діяльності (GOP) в розмірі 75%, однак тому є мало підтверджень.</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Цільовий ринок для міжнародних мережевих готелів становить бізнес сегмент (95%) та сегмент відпочинку та розваг (5%)</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Найбільші доходи міжнародний мережевий готель отримує в період з понеділка по п’ятницю.</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Ринок відпочинку та розваг належить локально оперованим готелям.</w:t>
      </w:r>
    </w:p>
    <w:p w:rsidR="00192005" w:rsidRPr="00C8397D" w:rsidRDefault="00192005" w:rsidP="00192005">
      <w:pPr>
        <w:numPr>
          <w:ilvl w:val="1"/>
          <w:numId w:val="9"/>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Зростання бізнес індустрії є необхідним для підтримки попиту за для подальшого розвитку готельної пропозиції.</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Готельний оператор № 2</w:t>
      </w:r>
    </w:p>
    <w:p w:rsidR="00192005" w:rsidRPr="00C8397D" w:rsidRDefault="00192005" w:rsidP="00192005">
      <w:pPr>
        <w:numPr>
          <w:ilvl w:val="1"/>
          <w:numId w:val="12"/>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На даний час мережевий готель оперує з 10-15% преміумом від середніх зареєстрованих показників по ринку.</w:t>
      </w:r>
    </w:p>
    <w:p w:rsidR="00192005" w:rsidRPr="00C8397D" w:rsidRDefault="00192005" w:rsidP="00192005">
      <w:pPr>
        <w:numPr>
          <w:ilvl w:val="1"/>
          <w:numId w:val="12"/>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Скептичний прогноз щодо готелів преміум класу, враховуючи майбутню пропозицію, та нещодавньої стабілізації завантаженості готелів до рівню 2008, при меншій кількості номерів на той час.</w:t>
      </w:r>
    </w:p>
    <w:p w:rsidR="00192005" w:rsidRPr="00C8397D" w:rsidRDefault="00192005" w:rsidP="00192005">
      <w:pPr>
        <w:numPr>
          <w:ilvl w:val="1"/>
          <w:numId w:val="12"/>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Обмежена пропозиція якісних номерів сприяла утриманню рівня ADR.</w:t>
      </w:r>
    </w:p>
    <w:p w:rsidR="00192005" w:rsidRPr="00C8397D" w:rsidRDefault="00192005" w:rsidP="00192005">
      <w:pPr>
        <w:numPr>
          <w:ilvl w:val="1"/>
          <w:numId w:val="12"/>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Ринок готелів у нецентральних комерційних районах має бути лімітований до невеликих готелів, які підходять під економ сегмент.</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Готельний оператор №3</w:t>
      </w:r>
    </w:p>
    <w:p w:rsidR="00192005" w:rsidRPr="00C8397D" w:rsidRDefault="00192005" w:rsidP="00192005">
      <w:pPr>
        <w:numPr>
          <w:ilvl w:val="1"/>
          <w:numId w:val="15"/>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Мережа оперована готельним оператором №3, спромоглась досягти 59% та 65% завантаженості у 2010 та 2011 роках відповідно.</w:t>
      </w:r>
    </w:p>
    <w:p w:rsidR="00192005" w:rsidRPr="00C8397D" w:rsidRDefault="00192005" w:rsidP="00192005">
      <w:pPr>
        <w:numPr>
          <w:ilvl w:val="1"/>
          <w:numId w:val="15"/>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У 2011 році, ADR цієї мережі був зареєстрований на рівни EUR150</w:t>
      </w:r>
    </w:p>
    <w:p w:rsidR="00192005" w:rsidRPr="00C8397D" w:rsidRDefault="00192005" w:rsidP="00192005">
      <w:pPr>
        <w:numPr>
          <w:ilvl w:val="1"/>
          <w:numId w:val="15"/>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ADR для преміально-розташованих готелів у Києві становить EUR 200, в той час як ADR для готелів середньої цінової категорії знаходиться на відмітці EUR100. У такому децентралізованому комерційному районі як «Київ Сіті» відповідний рівень ADR має становити приблизно EUR140</w:t>
      </w:r>
    </w:p>
    <w:p w:rsidR="00192005" w:rsidRPr="00C8397D" w:rsidRDefault="00192005" w:rsidP="00192005">
      <w:pPr>
        <w:numPr>
          <w:ilvl w:val="1"/>
          <w:numId w:val="15"/>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Ринковий GOP для готелів преміум класу становить приблизно </w:t>
      </w:r>
      <w:r w:rsidRPr="00C8397D">
        <w:rPr>
          <w:rFonts w:ascii="Times New Roman" w:hAnsi="Times New Roman"/>
          <w:sz w:val="28"/>
          <w:szCs w:val="28"/>
          <w:lang w:val="ru-RU"/>
        </w:rPr>
        <w:lastRenderedPageBreak/>
        <w:t>50%, однак мережа оперована готельним оператором №3, була спроможна досягти 70% GOP впродовж 2010 та 2011 року. У 2012 році мережа очікує GOP у розмірі 60%.</w:t>
      </w:r>
    </w:p>
    <w:p w:rsidR="00192005" w:rsidRPr="00C8397D" w:rsidRDefault="00192005" w:rsidP="00192005">
      <w:pPr>
        <w:numPr>
          <w:ilvl w:val="1"/>
          <w:numId w:val="15"/>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Для нового готеля стабілізаційний період становить 3-4 роки.</w:t>
      </w:r>
    </w:p>
    <w:p w:rsidR="00192005" w:rsidRPr="00C8397D" w:rsidRDefault="00192005" w:rsidP="00192005">
      <w:pPr>
        <w:numPr>
          <w:ilvl w:val="1"/>
          <w:numId w:val="15"/>
        </w:numPr>
        <w:tabs>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У коротко, середньостроковій перспективі, міжнародні готельні оператори переорієнтувались на розвиток готелів економ та середньої цінової категорій.</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Прогноз попиту на ринку готельної нерухомості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Прогнозування попиту на міжнародні мережеві готелі у Києві, враховуючи загальну пропозицію в розмірі 9 807 номерів. Сценарії попиту основуються на припущені середньорічного зростання в розмірі 3.9% до 2022 року (WTTC, Прогноз зросту ринку Подорожей та Туризму в Україні). Середньо-ринкова завантаженість готелів була протестована базуючись на двох сценаріях: 60% та 65%.</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Основуючись на цих прогнозах було зроблено прогноз щодо попиту на нову пропозицію готельних номерів до 2022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w:t>
      </w:r>
      <w:r w:rsidRPr="00C8397D">
        <w:rPr>
          <w:rFonts w:ascii="Times New Roman" w:hAnsi="Times New Roman"/>
          <w:sz w:val="28"/>
          <w:szCs w:val="28"/>
          <w:lang w:val="ru-RU"/>
        </w:rPr>
        <w:t>.2.7 - Прогноз попиту, 2012 – 2022 років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Сценарії</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Перемінні дані</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Додатковий попит впродовж 2012-2022 рр.</w:t>
            </w:r>
          </w:p>
        </w:tc>
      </w:tr>
      <w:tr w:rsidR="00192005" w:rsidRPr="00C8397D" w:rsidTr="00BA5963">
        <w:tc>
          <w:tcPr>
            <w:tcW w:w="3190" w:type="dxa"/>
            <w:vMerge w:val="restar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60% завантаженість</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Кількість додаткових ночей у готелях</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1000999</w:t>
            </w:r>
          </w:p>
        </w:tc>
      </w:tr>
      <w:tr w:rsidR="00192005" w:rsidRPr="00C8397D" w:rsidTr="00BA5963">
        <w:tc>
          <w:tcPr>
            <w:tcW w:w="3190" w:type="dxa"/>
            <w:vMerge/>
          </w:tcPr>
          <w:p w:rsidR="00192005" w:rsidRPr="00C8397D" w:rsidRDefault="00192005" w:rsidP="00BA5963">
            <w:pPr>
              <w:spacing w:after="0" w:line="360" w:lineRule="auto"/>
              <w:jc w:val="both"/>
              <w:rPr>
                <w:rFonts w:ascii="Times New Roman" w:hAnsi="Times New Roman"/>
                <w:sz w:val="28"/>
                <w:szCs w:val="28"/>
                <w:lang w:val="ru-RU"/>
              </w:rPr>
            </w:pP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Кількість додаткових номерів</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2742</w:t>
            </w:r>
          </w:p>
        </w:tc>
      </w:tr>
      <w:tr w:rsidR="00192005" w:rsidRPr="00C8397D" w:rsidTr="00BA5963">
        <w:tc>
          <w:tcPr>
            <w:tcW w:w="3190" w:type="dxa"/>
            <w:vMerge w:val="restar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60% завантаженість</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Кількість додаткових ночей у готелях</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1084416</w:t>
            </w:r>
          </w:p>
        </w:tc>
      </w:tr>
      <w:tr w:rsidR="00192005" w:rsidRPr="00C8397D" w:rsidTr="00BA5963">
        <w:tc>
          <w:tcPr>
            <w:tcW w:w="3190" w:type="dxa"/>
            <w:vMerge/>
          </w:tcPr>
          <w:p w:rsidR="00192005" w:rsidRPr="00C8397D" w:rsidRDefault="00192005" w:rsidP="00BA5963">
            <w:pPr>
              <w:spacing w:after="0" w:line="360" w:lineRule="auto"/>
              <w:jc w:val="both"/>
              <w:rPr>
                <w:rFonts w:ascii="Times New Roman" w:hAnsi="Times New Roman"/>
                <w:sz w:val="28"/>
                <w:szCs w:val="28"/>
                <w:lang w:val="ru-RU"/>
              </w:rPr>
            </w:pP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Кількість додаткових номерів</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2971</w:t>
            </w:r>
          </w:p>
        </w:tc>
      </w:tr>
    </w:tbl>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Використовуючи найбільш консервативний підхід до визначення попиту , мінімум 2742 додаткових номерів будуть необхідні до 2020 року, що є еквівалентом приблизно 14 готелів (у середньому по 200 номерів кожний). </w:t>
      </w:r>
      <w:r w:rsidRPr="00C8397D">
        <w:rPr>
          <w:rFonts w:ascii="Times New Roman" w:hAnsi="Times New Roman"/>
          <w:sz w:val="28"/>
          <w:szCs w:val="28"/>
          <w:lang w:val="ru-RU"/>
        </w:rPr>
        <w:lastRenderedPageBreak/>
        <w:t>Використовуючи найбільш оптимістичний підхід до прогнозування, потенційний попит може становити до 15 готелів (у середньому по 200 номерів кожний). Цей прогноз не враховує «ефект канібалізму» попиту для існуючих готелів.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ВИСНОВКИ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готельної нерухомості у Києві відновився до «до кризового» рівня завантаженості та показників ADR основуючись на даних основних показників ефективності за 2009 та 2010 рік. У 2011 році середньо-ринковий рівень ADR для міжнародних мережевих готелів становив 2 136,96 грн. (EUR 215.23), у той час як рівень завантаженості становив 60,4%.</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Згідно Всесвітній Раді Подорожей та Туризму (WTTC), кількість відвідувачів в Україні зросте з 20 мільйонів у 2012 році до 25,87 мільйонів відвідувачів у 2022 році. DTZ вважає, що даний показник відображає зростання кількості відвідувачів у Києві з 6 мільйонів туристів у 2012 році до 7,8 мільйонів туристів у 2022 році.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Визначино загальний обсяг пропозиції на ринку готельної нерухомості у розмірі 9 800 номерів, 6 444 з яких можуть бути розглянуті як якісні готельні номери. Аналіз майбутньої пропозиції на ринку готельної нерухомості виявив додаткові 1 305 номерів заявлені до реалізації, які відображають 20,3% від загальної кількості якісних номерів. Аналіз попиту на ринку готельної нерухомості виявив, що майбутня пропозиція, заявлена до реалізації у місті Києві на час аналізу, відображає лише 47,6% від загальної потреби у якісних готельних номерах до 2022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готельної нерухомості може буде розділений на дві категорії: міжнародні мережеві готелі преміум класу/готелі вищої середньої цінової категорії, та самостійно-оперовані локальні готелі. Міжнародний бізнес сегмент є майже єдиним користувачем мережевих готелів. Сегмент відпочинку та розваг повністю представлений локальними, не мережевими операторами.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Інтерв’ю з міжнародними мережевими готельними операторами </w:t>
      </w:r>
      <w:r w:rsidRPr="00C8397D">
        <w:rPr>
          <w:rFonts w:ascii="Times New Roman" w:hAnsi="Times New Roman"/>
          <w:sz w:val="28"/>
          <w:szCs w:val="28"/>
          <w:lang w:val="ru-RU"/>
        </w:rPr>
        <w:lastRenderedPageBreak/>
        <w:t>виявили очікування останніх щодо зниження рівня ADR у коротко та середньостроковий період в сегменті готелів преміум класу, та готелів віщої середньої цінової категорії максимум на 25%. Основними передумовами зниження показників ефективності у секторі є значний об’єм майбутньої пропозиції у сегменті та підвищення рівня конкурентоспроможності інших міст, в той час як Київ продовжуватиме розвиватися як регіональний центр з торгівлі та розваг. Ринок міжнародних мережевих готелів оперуючи у середньому та економ цінових категоріях продовжує бути структурно ненасиченим, в той час як якісний об’єкт з правильним розташуванням, у цьому ціновому сегменті, може вийти на 70% рівень завантаженості.</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Основні визначення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Прямий внесок до ВВП – ВВП генерований секторами індустрії, які безпосередньо пов’язані з туризмом, включаючи готелі, туристичні агентства, ресторани, авіалінії та іншій послуги з пасажироперевезень. Цей показник дорівнюється до суми загальних внутрішніх витрат пов’язаних з туристичною діяльністю в країні, за вирахуванням надходжень пов’язаних з імпортом.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Прямий внесок до працевлаштування – Кількість працівників найманих в сфері туризму.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Загальний внесок до ВВП – ВВП генерований секторами індустрії, які напряму пов’язані з туризмом, включаючи його непрямі та індуковані складові. (див. нижче).</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Загальний внесок до працевлаштування – Кількість працівників найманих в сфері туризму включаючи непрямі та індуковані складові. (див. нижче).</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Витрати іноземних відвідувачів - Витрати іноземних відвідувачів під час бізнес та туристичних подорожей, включаючи витрати на транспорт.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Витрати національних туристів – витрати громадян України в межах країни під час бізнес та туристичних подорожей, за винятком товарів тривалого користування, оскілки останні не купуються тільки для цілей </w:t>
      </w:r>
      <w:r w:rsidRPr="00C8397D">
        <w:rPr>
          <w:rFonts w:ascii="Times New Roman" w:hAnsi="Times New Roman"/>
          <w:sz w:val="28"/>
          <w:szCs w:val="28"/>
          <w:lang w:val="ru-RU"/>
        </w:rPr>
        <w:lastRenderedPageBreak/>
        <w:t>туризму.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Витрати на відпочинок та туризм – витрати на відпочинок та туризм в країні як іноземними так і національними туристами.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Непрямі та індуковані складові – внесок до ВВП та показника працевлаштування за трьома факторами: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Капітальні інвестиції – капітальні інвестиції всіх секторів напряму пов’язаних з туристичною діяльністю, включно з інвестиціями інших галузей на суто туристичні активи: транспорт, ресторани та розважальні заклади, готельні послуги.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Кумулятивні урядові витрати – загальні урядові витрати на підтримку туристичного сектору. Цей фактор може включати витрати національних, регіональних та місцевих органів влади. Наприклад витрати на сприяння туризму, туристичні інформаційні послуги та інше.</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Ефект ланцюгових поставок – закупівля вітчизняних товарів та послуг безпосередньо різними секторами туристичної галузі в якості внеску в їх кінцевий продукт.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Індукований внесок – обширний внесок до ВВП та працевлаштування за рахунок витрат робітників безпосередньо та побічно працевлаштованих у сфері туризму.</w:t>
      </w:r>
    </w:p>
    <w:p w:rsidR="00192005" w:rsidRPr="00C8397D" w:rsidRDefault="00192005" w:rsidP="00192005">
      <w:pPr>
        <w:spacing w:after="0" w:line="360" w:lineRule="auto"/>
        <w:ind w:firstLine="709"/>
        <w:jc w:val="both"/>
        <w:rPr>
          <w:rFonts w:ascii="Times New Roman" w:hAnsi="Times New Roman"/>
          <w:b/>
          <w:sz w:val="28"/>
          <w:szCs w:val="28"/>
          <w:lang w:val="ru-RU"/>
        </w:rPr>
      </w:pPr>
    </w:p>
    <w:p w:rsidR="00192005" w:rsidRPr="00C8397D" w:rsidRDefault="00192005" w:rsidP="00192005">
      <w:pPr>
        <w:spacing w:after="0" w:line="360" w:lineRule="auto"/>
        <w:ind w:firstLine="709"/>
        <w:jc w:val="both"/>
        <w:rPr>
          <w:rFonts w:ascii="Times New Roman" w:hAnsi="Times New Roman"/>
          <w:b/>
          <w:sz w:val="28"/>
          <w:szCs w:val="28"/>
          <w:lang w:val="ru-RU"/>
        </w:rPr>
      </w:pPr>
    </w:p>
    <w:p w:rsidR="00192005" w:rsidRPr="00C8397D" w:rsidRDefault="00192005" w:rsidP="00192005">
      <w:pPr>
        <w:spacing w:after="0" w:line="360" w:lineRule="auto"/>
        <w:ind w:firstLine="709"/>
        <w:jc w:val="both"/>
        <w:rPr>
          <w:rFonts w:ascii="Times New Roman" w:hAnsi="Times New Roman"/>
          <w:b/>
          <w:sz w:val="28"/>
          <w:szCs w:val="28"/>
          <w:lang w:val="ru-RU"/>
        </w:rPr>
      </w:pP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3.2.1.3. Виставки та конференц-приміщення в Києві (mice)</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Згідно з Оксфордським словником, конференція є формальною зустріччю людей, що поділяють одні і ті ж інтереси, особливо такою, що проводиться регулярно асоціацією або організацією. Конференція вважається однією з найскладніших типів корпоративних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Організація та проведення конференцій є частиною конгрес-туризму, який також включає в себе організацію форумів, симпозіумів, конференцій, виставок, бізнес зустрічей та інших заходів. Згідно з Всесвітньою </w:t>
      </w:r>
      <w:r w:rsidRPr="00C8397D">
        <w:rPr>
          <w:rFonts w:ascii="Times New Roman" w:hAnsi="Times New Roman"/>
          <w:sz w:val="28"/>
          <w:szCs w:val="28"/>
          <w:lang w:val="ru-RU"/>
        </w:rPr>
        <w:lastRenderedPageBreak/>
        <w:t>торгівельною організацією, конгрес-туризм складає 10-12% від загального об’єму бізнес туризму у світі. В той же час, бізнес туризм (який також називають MICE-туризм або зустрічі, заохочувальні тури, конференції і виставки) складає близько 30% від загального світового туризму.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Найкрупнішими та найбільш відомими центрами конференц-діяльності у Європі та Сполучених Штатах Америки є Амстердам, Барселона, Брюссель, Вашингтон, Женева, Копенгаген, Лондон, Мадрид, Париж та Страсбург. Також, щороку можновладці та підприємці приїздять до Давосу у Швейцарії для участі у Світовому економічному форумі.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Конференц-послуги включають в себе організацію та іноді проведення конференцій.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Конференц-зал або кімната для конференцій – це кімната для проведення особливих заходів, таких як ділові конференції та зустрічі. Зазвичай конференц-приміщення обладнані відео проекторами, акустичною системою та системою освітлення сцени, а також устатковані меблями.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Згідно з загальноприйнятими стандартами обладнання конференц-залів, на кожну людину має доводитися близько 4,5 кубічних метрів їх площі. Таким чином, знаючи площу конференц-кімнати, можна розрахувати приблизну кількість учасників конференції, що буде проводитися у данному приміщенні. Конференц-приміщення не можуть використовуватися для проживання учасників. Сцена, несиметричні кути приміщення та ін. також мають бути взяті до уваги. Також, слід зазначити, що розташування столів та стільців у конференц-залі може значно вплинути на місткість приміщення.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Компанії, що бажають організувати конференцію у Києві, роблять це своїми силами або ж винаймають спеціалістів з агентств у сфері організації корпоративних заходів. Існує багато подібних агентств, а також бюро перекладів та туристичних агенцій, які займаються організацією конференцій. Вартість послуг з організації конференцій залежить від типу конференцій, а також від репутації агенції, що займається їх організацією. Комісійні таких агентств складають близько 10-15% від загальної вартості </w:t>
      </w:r>
      <w:r w:rsidRPr="00C8397D">
        <w:rPr>
          <w:rFonts w:ascii="Times New Roman" w:hAnsi="Times New Roman"/>
          <w:sz w:val="28"/>
          <w:szCs w:val="28"/>
          <w:lang w:val="ru-RU"/>
        </w:rPr>
        <w:lastRenderedPageBreak/>
        <w:t>конференц-послуг.</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Вибір місця проведення конференції у Києві залежить в основному від головної мети, теми, розміру та бюджету конференції, а також статусу відвідувачів.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i/>
          <w:sz w:val="28"/>
          <w:szCs w:val="28"/>
          <w:lang w:val="ru-RU"/>
        </w:rPr>
        <w:t>Короткий огляд ринку конференц-послуг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є столицею України, та вважається центром ділового туризму у країні. Багато заходів, включаючи торгівельні ярмарки, виставки, покази мод, міжнародні конференції, конгреси, ділові зустрічі та семінари відбуваються у місті.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уповільнення економічного росту України, починаючи з кінця 2008 року, та негативний вплив на ділову та конференц-діяльність у країні, попит на якісні конференц-приміщення у Києві залишається значним. Приміщення для проведення конференцій у Києві включають конференційні кімнати та конгрес-холи у готелях, виставкові центри, бізнес центри та ін. (концертні холи, адміністративні будівлі, спортивні комплекси, актові зали університетів та ін.)</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Іноді компанії та організації, що бажають провести конференцію у Києві, займаються її організацією самі або ж залучають агенції з організації таких заходів. У Києві існує багато компаній, що пропонують подібні послуги. Вони зазвичай можуть забезпечити більш якісну організацію заходу завдяки їх широкому досвіду у цій сфері, а також запропонувати приміщення, які найбільш відповідають вимогам організацій, що бажають провести конференцію. Окрім пошуку приміщення та улагодження основних організаційних питань, вони також забезпечують технічну підтримку та іноді банкетний сервіс, а також складання сценарію заходу. Деякі з цих компаній є спеціалізованими компаніями з організації конференцій, інші ж можуть буди бюро перекладів або туристичні агенції, для яких організація конференцій є додатковим видом послуг.</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Можливо найвідомішою агенцією, що надає конференц-послуги у Києві є ‘Conference House’, що булла створена у 2004 році та організувала з </w:t>
      </w:r>
      <w:r w:rsidRPr="00C8397D">
        <w:rPr>
          <w:rFonts w:ascii="Times New Roman" w:hAnsi="Times New Roman"/>
          <w:sz w:val="28"/>
          <w:szCs w:val="28"/>
          <w:lang w:val="ru-RU"/>
        </w:rPr>
        <w:lastRenderedPageBreak/>
        <w:t>того часу ряд конференцій для багатьох компаній та організацій.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Інші агенції, що надають конференц-послуги і існують на ринку понад 5 років є наступними: ‘Сонячний Круг’, ‘</w:t>
      </w:r>
      <w:r w:rsidRPr="00C8397D">
        <w:rPr>
          <w:rFonts w:ascii="Times New Roman" w:hAnsi="Times New Roman"/>
          <w:sz w:val="28"/>
          <w:szCs w:val="28"/>
        </w:rPr>
        <w:t>BTL</w:t>
      </w:r>
      <w:r w:rsidRPr="00C8397D">
        <w:rPr>
          <w:rFonts w:ascii="Times New Roman" w:hAnsi="Times New Roman"/>
          <w:sz w:val="28"/>
          <w:szCs w:val="28"/>
          <w:lang w:val="ru-RU"/>
        </w:rPr>
        <w:t xml:space="preserve"> </w:t>
      </w:r>
      <w:r w:rsidRPr="00C8397D">
        <w:rPr>
          <w:rFonts w:ascii="Times New Roman" w:hAnsi="Times New Roman"/>
          <w:sz w:val="28"/>
          <w:szCs w:val="28"/>
        </w:rPr>
        <w:t>Agency</w:t>
      </w:r>
      <w:r w:rsidRPr="00C8397D">
        <w:rPr>
          <w:rFonts w:ascii="Times New Roman" w:hAnsi="Times New Roman"/>
          <w:sz w:val="28"/>
          <w:szCs w:val="28"/>
          <w:lang w:val="ru-RU"/>
        </w:rPr>
        <w:t xml:space="preserve"> </w:t>
      </w:r>
      <w:r w:rsidRPr="00C8397D">
        <w:rPr>
          <w:rFonts w:ascii="Times New Roman" w:hAnsi="Times New Roman"/>
          <w:sz w:val="28"/>
          <w:szCs w:val="28"/>
        </w:rPr>
        <w:t>Business</w:t>
      </w:r>
      <w:r w:rsidRPr="00C8397D">
        <w:rPr>
          <w:rFonts w:ascii="Times New Roman" w:hAnsi="Times New Roman"/>
          <w:sz w:val="28"/>
          <w:szCs w:val="28"/>
          <w:lang w:val="ru-RU"/>
        </w:rPr>
        <w:t xml:space="preserve"> </w:t>
      </w:r>
      <w:r w:rsidRPr="00C8397D">
        <w:rPr>
          <w:rFonts w:ascii="Times New Roman" w:hAnsi="Times New Roman"/>
          <w:sz w:val="28"/>
          <w:szCs w:val="28"/>
        </w:rPr>
        <w:t>Travel</w:t>
      </w:r>
      <w:r w:rsidRPr="00C8397D">
        <w:rPr>
          <w:rFonts w:ascii="Times New Roman" w:hAnsi="Times New Roman"/>
          <w:sz w:val="28"/>
          <w:szCs w:val="28"/>
          <w:lang w:val="ru-RU"/>
        </w:rPr>
        <w:t xml:space="preserve"> </w:t>
      </w:r>
      <w:r w:rsidRPr="00C8397D">
        <w:rPr>
          <w:rFonts w:ascii="Times New Roman" w:hAnsi="Times New Roman"/>
          <w:sz w:val="28"/>
          <w:szCs w:val="28"/>
        </w:rPr>
        <w:t>Leisure</w:t>
      </w:r>
      <w:r w:rsidRPr="00C8397D">
        <w:rPr>
          <w:rFonts w:ascii="Times New Roman" w:hAnsi="Times New Roman"/>
          <w:sz w:val="28"/>
          <w:szCs w:val="28"/>
          <w:lang w:val="ru-RU"/>
        </w:rPr>
        <w:t>’, ‘</w:t>
      </w:r>
      <w:r w:rsidRPr="00C8397D">
        <w:rPr>
          <w:rFonts w:ascii="Times New Roman" w:hAnsi="Times New Roman"/>
          <w:sz w:val="28"/>
          <w:szCs w:val="28"/>
        </w:rPr>
        <w:t>HV</w:t>
      </w:r>
      <w:r w:rsidRPr="00C8397D">
        <w:rPr>
          <w:rFonts w:ascii="Times New Roman" w:hAnsi="Times New Roman"/>
          <w:sz w:val="28"/>
          <w:szCs w:val="28"/>
          <w:lang w:val="ru-RU"/>
        </w:rPr>
        <w:t xml:space="preserve"> </w:t>
      </w:r>
      <w:r w:rsidRPr="00C8397D">
        <w:rPr>
          <w:rFonts w:ascii="Times New Roman" w:hAnsi="Times New Roman"/>
          <w:sz w:val="28"/>
          <w:szCs w:val="28"/>
        </w:rPr>
        <w:t>Business</w:t>
      </w:r>
      <w:r w:rsidRPr="00C8397D">
        <w:rPr>
          <w:rFonts w:ascii="Times New Roman" w:hAnsi="Times New Roman"/>
          <w:sz w:val="28"/>
          <w:szCs w:val="28"/>
          <w:lang w:val="ru-RU"/>
        </w:rPr>
        <w:t>’, ‘</w:t>
      </w:r>
      <w:r w:rsidRPr="00C8397D">
        <w:rPr>
          <w:rFonts w:ascii="Times New Roman" w:hAnsi="Times New Roman"/>
          <w:sz w:val="28"/>
          <w:szCs w:val="28"/>
        </w:rPr>
        <w:t>S</w:t>
      </w:r>
      <w:r w:rsidRPr="00C8397D">
        <w:rPr>
          <w:rFonts w:ascii="Times New Roman" w:hAnsi="Times New Roman"/>
          <w:sz w:val="28"/>
          <w:szCs w:val="28"/>
          <w:lang w:val="ru-RU"/>
        </w:rPr>
        <w:t>&amp;</w:t>
      </w:r>
      <w:r w:rsidRPr="00C8397D">
        <w:rPr>
          <w:rFonts w:ascii="Times New Roman" w:hAnsi="Times New Roman"/>
          <w:sz w:val="28"/>
          <w:szCs w:val="28"/>
        </w:rPr>
        <w:t>T</w:t>
      </w:r>
      <w:r w:rsidRPr="00C8397D">
        <w:rPr>
          <w:rFonts w:ascii="Times New Roman" w:hAnsi="Times New Roman"/>
          <w:sz w:val="28"/>
          <w:szCs w:val="28"/>
          <w:lang w:val="ru-RU"/>
        </w:rPr>
        <w:t xml:space="preserve"> </w:t>
      </w:r>
      <w:r w:rsidRPr="00C8397D">
        <w:rPr>
          <w:rFonts w:ascii="Times New Roman" w:hAnsi="Times New Roman"/>
          <w:sz w:val="28"/>
          <w:szCs w:val="28"/>
        </w:rPr>
        <w:t>Global</w:t>
      </w:r>
      <w:r w:rsidRPr="00C8397D">
        <w:rPr>
          <w:rFonts w:ascii="Times New Roman" w:hAnsi="Times New Roman"/>
          <w:sz w:val="28"/>
          <w:szCs w:val="28"/>
          <w:lang w:val="ru-RU"/>
        </w:rPr>
        <w:t xml:space="preserve"> </w:t>
      </w:r>
      <w:r w:rsidRPr="00C8397D">
        <w:rPr>
          <w:rFonts w:ascii="Times New Roman" w:hAnsi="Times New Roman"/>
          <w:sz w:val="28"/>
          <w:szCs w:val="28"/>
        </w:rPr>
        <w:t>Service</w:t>
      </w:r>
      <w:r w:rsidRPr="00C8397D">
        <w:rPr>
          <w:rFonts w:ascii="Times New Roman" w:hAnsi="Times New Roman"/>
          <w:sz w:val="28"/>
          <w:szCs w:val="28"/>
          <w:lang w:val="ru-RU"/>
        </w:rPr>
        <w:t xml:space="preserve"> </w:t>
      </w:r>
      <w:r w:rsidRPr="00C8397D">
        <w:rPr>
          <w:rFonts w:ascii="Times New Roman" w:hAnsi="Times New Roman"/>
          <w:sz w:val="28"/>
          <w:szCs w:val="28"/>
        </w:rPr>
        <w:t>Ltd</w:t>
      </w:r>
      <w:r w:rsidRPr="00C8397D">
        <w:rPr>
          <w:rFonts w:ascii="Times New Roman" w:hAnsi="Times New Roman"/>
          <w:sz w:val="28"/>
          <w:szCs w:val="28"/>
          <w:lang w:val="ru-RU"/>
        </w:rPr>
        <w:t>’, ‘Ажур’, ‘</w:t>
      </w:r>
      <w:r w:rsidRPr="00C8397D">
        <w:rPr>
          <w:rFonts w:ascii="Times New Roman" w:hAnsi="Times New Roman"/>
          <w:sz w:val="28"/>
          <w:szCs w:val="28"/>
        </w:rPr>
        <w:t>Meeting</w:t>
      </w:r>
      <w:r w:rsidRPr="00C8397D">
        <w:rPr>
          <w:rFonts w:ascii="Times New Roman" w:hAnsi="Times New Roman"/>
          <w:sz w:val="28"/>
          <w:szCs w:val="28"/>
          <w:lang w:val="ru-RU"/>
        </w:rPr>
        <w:t xml:space="preserve"> </w:t>
      </w:r>
      <w:r w:rsidRPr="00C8397D">
        <w:rPr>
          <w:rFonts w:ascii="Times New Roman" w:hAnsi="Times New Roman"/>
          <w:sz w:val="28"/>
          <w:szCs w:val="28"/>
        </w:rPr>
        <w:t>point</w:t>
      </w:r>
      <w:r w:rsidRPr="00C8397D">
        <w:rPr>
          <w:rFonts w:ascii="Times New Roman" w:hAnsi="Times New Roman"/>
          <w:sz w:val="28"/>
          <w:szCs w:val="28"/>
          <w:lang w:val="uk-UA"/>
        </w:rPr>
        <w:t xml:space="preserve"> </w:t>
      </w:r>
      <w:r w:rsidRPr="00C8397D">
        <w:rPr>
          <w:rFonts w:ascii="Times New Roman" w:hAnsi="Times New Roman"/>
          <w:sz w:val="28"/>
          <w:szCs w:val="28"/>
        </w:rPr>
        <w:t>Ukraine</w:t>
      </w:r>
      <w:r w:rsidRPr="00C8397D">
        <w:rPr>
          <w:rFonts w:ascii="Times New Roman" w:hAnsi="Times New Roman"/>
          <w:sz w:val="28"/>
          <w:szCs w:val="28"/>
          <w:lang w:val="ru-RU"/>
        </w:rPr>
        <w:t>’, ‘Глорія’, ‘</w:t>
      </w:r>
      <w:r w:rsidRPr="00C8397D">
        <w:rPr>
          <w:rFonts w:ascii="Times New Roman" w:hAnsi="Times New Roman"/>
          <w:sz w:val="28"/>
          <w:szCs w:val="28"/>
        </w:rPr>
        <w:t>Real</w:t>
      </w:r>
      <w:r w:rsidRPr="00C8397D">
        <w:rPr>
          <w:rFonts w:ascii="Times New Roman" w:hAnsi="Times New Roman"/>
          <w:sz w:val="28"/>
          <w:szCs w:val="28"/>
          <w:lang w:val="ru-RU"/>
        </w:rPr>
        <w:t xml:space="preserve"> </w:t>
      </w:r>
      <w:r w:rsidRPr="00C8397D">
        <w:rPr>
          <w:rFonts w:ascii="Times New Roman" w:hAnsi="Times New Roman"/>
          <w:sz w:val="28"/>
          <w:szCs w:val="28"/>
        </w:rPr>
        <w:t>Time</w:t>
      </w:r>
      <w:r w:rsidRPr="00C8397D">
        <w:rPr>
          <w:rFonts w:ascii="Times New Roman" w:hAnsi="Times New Roman"/>
          <w:sz w:val="28"/>
          <w:szCs w:val="28"/>
          <w:lang w:val="ru-RU"/>
        </w:rPr>
        <w:t xml:space="preserve"> </w:t>
      </w:r>
      <w:r w:rsidRPr="00C8397D">
        <w:rPr>
          <w:rFonts w:ascii="Times New Roman" w:hAnsi="Times New Roman"/>
          <w:sz w:val="28"/>
          <w:szCs w:val="28"/>
        </w:rPr>
        <w:t>Conference</w:t>
      </w:r>
      <w:r w:rsidRPr="00C8397D">
        <w:rPr>
          <w:rFonts w:ascii="Times New Roman" w:hAnsi="Times New Roman"/>
          <w:sz w:val="28"/>
          <w:szCs w:val="28"/>
          <w:lang w:val="ru-RU"/>
        </w:rPr>
        <w:t>’, ‘</w:t>
      </w:r>
      <w:r w:rsidRPr="00C8397D">
        <w:rPr>
          <w:rFonts w:ascii="Times New Roman" w:hAnsi="Times New Roman"/>
          <w:sz w:val="28"/>
          <w:szCs w:val="28"/>
        </w:rPr>
        <w:t>Theatre</w:t>
      </w:r>
      <w:r w:rsidRPr="00C8397D">
        <w:rPr>
          <w:rFonts w:ascii="Times New Roman" w:hAnsi="Times New Roman"/>
          <w:sz w:val="28"/>
          <w:szCs w:val="28"/>
          <w:lang w:val="ru-RU"/>
        </w:rPr>
        <w:t xml:space="preserve"> </w:t>
      </w:r>
      <w:r w:rsidRPr="00C8397D">
        <w:rPr>
          <w:rFonts w:ascii="Times New Roman" w:hAnsi="Times New Roman"/>
          <w:sz w:val="28"/>
          <w:szCs w:val="28"/>
        </w:rPr>
        <w:t>of</w:t>
      </w:r>
      <w:r w:rsidRPr="00C8397D">
        <w:rPr>
          <w:rFonts w:ascii="Times New Roman" w:hAnsi="Times New Roman"/>
          <w:sz w:val="28"/>
          <w:szCs w:val="28"/>
          <w:lang w:val="ru-RU"/>
        </w:rPr>
        <w:t xml:space="preserve"> </w:t>
      </w:r>
      <w:r w:rsidRPr="00C8397D">
        <w:rPr>
          <w:rFonts w:ascii="Times New Roman" w:hAnsi="Times New Roman"/>
          <w:sz w:val="28"/>
          <w:szCs w:val="28"/>
        </w:rPr>
        <w:t>holidays</w:t>
      </w:r>
      <w:r w:rsidRPr="00C8397D">
        <w:rPr>
          <w:rFonts w:ascii="Times New Roman" w:hAnsi="Times New Roman"/>
          <w:sz w:val="28"/>
          <w:szCs w:val="28"/>
          <w:lang w:val="ru-RU"/>
        </w:rPr>
        <w:t xml:space="preserve"> </w:t>
      </w:r>
      <w:r w:rsidRPr="00C8397D">
        <w:rPr>
          <w:rFonts w:ascii="Times New Roman" w:hAnsi="Times New Roman"/>
          <w:sz w:val="28"/>
          <w:szCs w:val="28"/>
        </w:rPr>
        <w:t>OS</w:t>
      </w:r>
      <w:r w:rsidRPr="00C8397D">
        <w:rPr>
          <w:rFonts w:ascii="Times New Roman" w:hAnsi="Times New Roman"/>
          <w:sz w:val="28"/>
          <w:szCs w:val="28"/>
          <w:lang w:val="ru-RU"/>
        </w:rPr>
        <w:t>’, ‘</w:t>
      </w:r>
      <w:r w:rsidRPr="00C8397D">
        <w:rPr>
          <w:rFonts w:ascii="Times New Roman" w:hAnsi="Times New Roman"/>
          <w:sz w:val="28"/>
          <w:szCs w:val="28"/>
        </w:rPr>
        <w:t>BPT</w:t>
      </w:r>
      <w:r w:rsidRPr="00C8397D">
        <w:rPr>
          <w:rFonts w:ascii="Times New Roman" w:hAnsi="Times New Roman"/>
          <w:sz w:val="28"/>
          <w:szCs w:val="28"/>
          <w:lang w:val="ru-RU"/>
        </w:rPr>
        <w:t xml:space="preserve"> </w:t>
      </w:r>
      <w:r w:rsidRPr="00C8397D">
        <w:rPr>
          <w:rFonts w:ascii="Times New Roman" w:hAnsi="Times New Roman"/>
          <w:sz w:val="28"/>
          <w:szCs w:val="28"/>
        </w:rPr>
        <w:t>Conference</w:t>
      </w:r>
      <w:r w:rsidRPr="00C8397D">
        <w:rPr>
          <w:rFonts w:ascii="Times New Roman" w:hAnsi="Times New Roman"/>
          <w:sz w:val="28"/>
          <w:szCs w:val="28"/>
          <w:lang w:val="ru-RU"/>
        </w:rPr>
        <w:t>’, ‘Дом Пашкова’, ‘</w:t>
      </w:r>
      <w:r w:rsidRPr="00C8397D">
        <w:rPr>
          <w:rFonts w:ascii="Times New Roman" w:hAnsi="Times New Roman"/>
          <w:sz w:val="28"/>
          <w:szCs w:val="28"/>
        </w:rPr>
        <w:t>Happy</w:t>
      </w:r>
      <w:r w:rsidRPr="00C8397D">
        <w:rPr>
          <w:rFonts w:ascii="Times New Roman" w:hAnsi="Times New Roman"/>
          <w:sz w:val="28"/>
          <w:szCs w:val="28"/>
          <w:lang w:val="ru-RU"/>
        </w:rPr>
        <w:t xml:space="preserve"> </w:t>
      </w:r>
      <w:r w:rsidRPr="00C8397D">
        <w:rPr>
          <w:rFonts w:ascii="Times New Roman" w:hAnsi="Times New Roman"/>
          <w:sz w:val="28"/>
          <w:szCs w:val="28"/>
        </w:rPr>
        <w:t>Vacations</w:t>
      </w:r>
      <w:r w:rsidRPr="00C8397D">
        <w:rPr>
          <w:rFonts w:ascii="Times New Roman" w:hAnsi="Times New Roman"/>
          <w:sz w:val="28"/>
          <w:szCs w:val="28"/>
          <w:lang w:val="ru-RU"/>
        </w:rPr>
        <w:t>’, ‘</w:t>
      </w:r>
      <w:r w:rsidRPr="00C8397D">
        <w:rPr>
          <w:rFonts w:ascii="Times New Roman" w:hAnsi="Times New Roman"/>
          <w:sz w:val="28"/>
          <w:szCs w:val="28"/>
        </w:rPr>
        <w:t>Gestalt</w:t>
      </w:r>
      <w:r w:rsidRPr="00C8397D">
        <w:rPr>
          <w:rFonts w:ascii="Times New Roman" w:hAnsi="Times New Roman"/>
          <w:sz w:val="28"/>
          <w:szCs w:val="28"/>
          <w:lang w:val="ru-RU"/>
        </w:rPr>
        <w:t xml:space="preserve"> </w:t>
      </w:r>
      <w:r w:rsidRPr="00C8397D">
        <w:rPr>
          <w:rFonts w:ascii="Times New Roman" w:hAnsi="Times New Roman"/>
          <w:sz w:val="28"/>
          <w:szCs w:val="28"/>
        </w:rPr>
        <w:t>Consulting</w:t>
      </w:r>
      <w:r w:rsidRPr="00C8397D">
        <w:rPr>
          <w:rFonts w:ascii="Times New Roman" w:hAnsi="Times New Roman"/>
          <w:sz w:val="28"/>
          <w:szCs w:val="28"/>
          <w:lang w:val="ru-RU"/>
        </w:rPr>
        <w:t xml:space="preserve"> </w:t>
      </w:r>
      <w:r w:rsidRPr="00C8397D">
        <w:rPr>
          <w:rFonts w:ascii="Times New Roman" w:hAnsi="Times New Roman"/>
          <w:sz w:val="28"/>
          <w:szCs w:val="28"/>
        </w:rPr>
        <w:t>Group</w:t>
      </w:r>
      <w:r w:rsidRPr="00C8397D">
        <w:rPr>
          <w:rFonts w:ascii="Times New Roman" w:hAnsi="Times New Roman"/>
          <w:sz w:val="28"/>
          <w:szCs w:val="28"/>
          <w:lang w:val="ru-RU"/>
        </w:rPr>
        <w:t>’ та інші.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Винагорода агенцій, що надають конференц-послуги, залежить зазвичай від типу заходу, зусиль та часу, витраченого на організацію та менеджмент. Комісійні деяких компанії типу ‘Сонячний Круг’ складають 10-15% від загальної вартості заходу.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Сезонність у проведенні конференцій залежить від їх теми, але зазвичай організатори намагаються уникати літнього періоду, оскільки це - період відпусток. Грудень та січень також є найменш популярними місяцями для організаторів конференцій із-за свят в цей період. Таким чином, осінь та весна є найпродуктивнішими та найпожвавленішими порами року для організаторів. Також, середина тижня вважається найкращим часом для проведення конференцій.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конференцій у Києві, особливо конференцій вищого рівня, проводяться у конференц-холах готелів. Вони зазвичай пропонують приміщення вищої якості та кращий банкетний сервіс, ніж інші приміщення. Також вони є зручнішими для закордонних учасників, які можуть зупинитися у тому ж готелі на час проведення конференції.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даний момент наявність високоякісних та доступних приміщень для проведення конференцій з прийнятним рівнем комфортабельності у Києві є достатньо обмеженою. Спостерігається дефіцит 3-зіркових готелів, що можуть запропонувати конференційні приміщення європейської якості в середній ціновій категорії.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Багато готелів, що виходять зараз на ринок Києва, є міні-готелями або готелями бутикового типу, і зазвичай не містять конференц-приміщень прийнятного розміру. Деякі з крупних готелів Києва мають конференційні </w:t>
      </w:r>
      <w:r w:rsidRPr="00C8397D">
        <w:rPr>
          <w:rFonts w:ascii="Times New Roman" w:hAnsi="Times New Roman"/>
          <w:sz w:val="28"/>
          <w:szCs w:val="28"/>
          <w:lang w:val="ru-RU"/>
        </w:rPr>
        <w:lastRenderedPageBreak/>
        <w:t>зали, місткість яких є не більше 200-300 посадочних місць та ресторани на лише 85-100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Дефіцит високоякісних конференц-приміщень за конкурентною ціною у Києві вважається основною причиною завищених цін на конференц-зали готелів міста. Середня вартість оренди конферец-залів у Києві є на 20-30% вищою, ніж у інших європейських містах.</w:t>
      </w:r>
    </w:p>
    <w:p w:rsidR="00192005" w:rsidRPr="00C8397D" w:rsidRDefault="00192005" w:rsidP="00192005">
      <w:pPr>
        <w:spacing w:after="0" w:line="360" w:lineRule="auto"/>
        <w:ind w:firstLine="709"/>
        <w:jc w:val="both"/>
        <w:rPr>
          <w:rFonts w:ascii="Times New Roman" w:hAnsi="Times New Roman"/>
          <w:sz w:val="28"/>
          <w:szCs w:val="28"/>
          <w:lang w:val="ru-RU"/>
        </w:rPr>
      </w:pP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Огляд конференц-приміщень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Конференц-приміщення можуть класифікуватися за їх місткістю та типом.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МІСТКІСТЬ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Місткість конференц-приміщень є одним з найважливіших факторів, що розглядаються організаторами при виборі приміщення для конференції. У Києві місткість конференц-приміщень варіюється від понад 1 000 посадочних місць, необхідних для великих конгресів, до менше, ніж 100 посадочних місць для корпоративних заходів. Таким чином, залежно від місткості, конференц-приміщення поділяються на 3 категорії: 1 000 посадочних місць та більше, 100-999 посадочних місць та менше, ніж 100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Існує небагато конференц-приміщень із місткістю понад 1 000 посадочних місць. Виставкові центри такі, як Міжнародний виставковий Центр та Київ Експо Плаза пропонують приміщення на 500-650 посадочних місць. Київ Експо Плаза також пропонує більше приміщення для конгресів, що може вмістити понад 10 000 учасників (Джерело: http://expoplaza.kiev.ua/ukr/exhibition_center).</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Києві деякі існуючі готелі радянського типу пропонують конференц-приміщення місткістю 400-500 учасників (наприклад, ‘Мир’, ‘Президент Готель’, ‘Русь’), хоча загальна якість таких приміщень є досить другорядною. ‘Президент Готель’ містить найбільшу кількість конференц-приміщень серед усіх готелів Києва, включаючи конгрес-хол, конференц-центр, 5 конференц-холів та декілька кімнат для зустрічей.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 xml:space="preserve">Найбільший конференц-хол у ‘Президент Готелі’ має «театральну» конфігурацію розташування посадочних місць, площу </w:t>
      </w:r>
      <w:smartTag w:uri="urn:schemas-microsoft-com:office:smarttags" w:element="metricconverter">
        <w:smartTagPr>
          <w:attr w:name="ProductID" w:val="579 кв. м"/>
        </w:smartTagPr>
        <w:r w:rsidRPr="00C8397D">
          <w:rPr>
            <w:rFonts w:ascii="Times New Roman" w:hAnsi="Times New Roman"/>
            <w:sz w:val="28"/>
            <w:szCs w:val="28"/>
            <w:lang w:val="ru-RU"/>
          </w:rPr>
          <w:t>579 кв. м</w:t>
        </w:r>
      </w:smartTag>
      <w:r w:rsidRPr="00C8397D">
        <w:rPr>
          <w:rFonts w:ascii="Times New Roman" w:hAnsi="Times New Roman"/>
          <w:sz w:val="28"/>
          <w:szCs w:val="28"/>
          <w:lang w:val="ru-RU"/>
        </w:rPr>
        <w:t xml:space="preserve"> та місткість - 450 місць. Конгрес-хол у цьому готелі має 400 посадочних місць та, якщо необхідно, може бути розділений на 4 окремих конференц-хола.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Нові готелі Києва зазвичай не мають конференц-приміщень місткістю більше, ніж на 200-250 посадочних місць (наприклад, готель «Опера» - 261 місць, Radisson – 200 місць та ‘Воздвиженський’ - 100 місць) і придатні для заходів меншого масштабу (весілля, ділові зустрічі, вечірки та ін..).</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Бізнес центри звичайно мають кімнати для зустрічей меншою місткістю, що використовуються для ділових зустрічей, презентацій компаній та їх продукції, командо-утворюючих заходів та навчальних курсів. Майже жодний з них не може запропонувати приміщення для середніх та крупно масштабних конференцій.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ТИП</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 є найбільш популярними приміщеннями для проведення конференцій і вважаються оптимальним варіантом для середньомасштабних заходів. Крім того, готелі також можуть запропонувати більш широкий спектр послуг (проживання для учасників заходу, вищу якість приміщень та комфорт, доступ до високоякісних кафе та ресторанів, банкетний сервіс та ін.). Деякі з готелів також пропонують знижки до 20-40% для тих учасників конференцій, що замовляють комплексні послуги (участь у конференції, проживання та харчування).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Станом на 2011 рік, у Києві налічувалося 133 готелі та інших приміщень, що пропонували короткострокове проживання. Більшість готелів пропонують деякі приміщення для конференцій та зустрічей, але їх якість та можливість задовольнити існуючий попит дуже різняться.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Після відкриття у Києві готелю Fairmont Grand Hotel Kyiv, на початку 2012 року та готелю Ibis на бульварі Шевченка у 2011 році, у місті з 3 мільйонами мешканців тепер налічується лише 5 готелів з міжнародним </w:t>
      </w:r>
      <w:r w:rsidRPr="00C8397D">
        <w:rPr>
          <w:rFonts w:ascii="Times New Roman" w:hAnsi="Times New Roman"/>
          <w:sz w:val="28"/>
          <w:szCs w:val="28"/>
          <w:lang w:val="ru-RU"/>
        </w:rPr>
        <w:lastRenderedPageBreak/>
        <w:t>іменем, тобто потенціал ринку залишається істотним.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даний момент готелі Києва можуть бути розділені за чотирма категоріями: готелі класу «люкс», готелі високої та середньої цінової категорії, а також готелі економ-класу.</w:t>
      </w:r>
    </w:p>
    <w:p w:rsidR="00192005" w:rsidRPr="00C8397D" w:rsidRDefault="00192005" w:rsidP="0019200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класу «люкс»</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Готелями класу «люкс» у Києві є Hyatt Regency Kyiv, «Прем’єр Палац», Intercontinental та Fairmont Grand Hotel Kyiv. Ці готелі розташовані у центрі міста та пропонують якісний сервіс та інфраструктуру (включаючи і конференційні приміщення), і націлені на крупних корпоративних клієнтів та заможних мандрівників.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Ці готелі обираються місцем проведення престижних конференцій, що потребують високоякісні приміщення та професійний обслуговуючий персонал. Такі приміщення особливо користуються попитом для організації конференцій за участю можновладців та вищого керівництва великих корпорацій.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Hyatt Regency</w:t>
      </w:r>
      <w:r w:rsidRPr="00C8397D">
        <w:rPr>
          <w:rFonts w:ascii="Times New Roman" w:hAnsi="Times New Roman"/>
          <w:sz w:val="28"/>
          <w:szCs w:val="28"/>
          <w:lang w:val="ru-RU"/>
        </w:rPr>
        <w:t xml:space="preserve"> є 5-ти зірковім готелем, що розташований в історичному центрі Києва, на вулиці Алли Тарасової. Він має конференційні приміщення загальною площею </w:t>
      </w:r>
      <w:smartTag w:uri="urn:schemas-microsoft-com:office:smarttags" w:element="metricconverter">
        <w:smartTagPr>
          <w:attr w:name="ProductID" w:val="1 000 кв. м"/>
        </w:smartTagPr>
        <w:r w:rsidRPr="00C8397D">
          <w:rPr>
            <w:rFonts w:ascii="Times New Roman" w:hAnsi="Times New Roman"/>
            <w:sz w:val="28"/>
            <w:szCs w:val="28"/>
            <w:lang w:val="ru-RU"/>
          </w:rPr>
          <w:t>1 000 кв. м</w:t>
        </w:r>
      </w:smartTag>
      <w:r w:rsidRPr="00C8397D">
        <w:rPr>
          <w:rFonts w:ascii="Times New Roman" w:hAnsi="Times New Roman"/>
          <w:sz w:val="28"/>
          <w:szCs w:val="28"/>
          <w:lang w:val="ru-RU"/>
        </w:rPr>
        <w:t xml:space="preserve">, включаючи банкетний зал розміром </w:t>
      </w:r>
      <w:smartTag w:uri="urn:schemas-microsoft-com:office:smarttags" w:element="metricconverter">
        <w:smartTagPr>
          <w:attr w:name="ProductID" w:val="371 кв. м"/>
        </w:smartTagPr>
        <w:r w:rsidRPr="00C8397D">
          <w:rPr>
            <w:rFonts w:ascii="Times New Roman" w:hAnsi="Times New Roman"/>
            <w:sz w:val="28"/>
            <w:szCs w:val="28"/>
            <w:lang w:val="ru-RU"/>
          </w:rPr>
          <w:t>371 кв. м</w:t>
        </w:r>
      </w:smartTag>
      <w:r w:rsidRPr="00C8397D">
        <w:rPr>
          <w:rFonts w:ascii="Times New Roman" w:hAnsi="Times New Roman"/>
          <w:sz w:val="28"/>
          <w:szCs w:val="28"/>
          <w:lang w:val="ru-RU"/>
        </w:rPr>
        <w:t>, 8 кімнат для зустрічей та 3 зали засідань місткістю від 6 до 350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Конференційні приміщення розташовані на чотирьох рівнях конференц-центру готелю. Вони є одними з найвисокоякісніших та найбільш устаткованих приміщень серед усіх готелів Києва з одним із найкращих банкетних сервісів у місті.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«Прем’єр Палац»</w:t>
      </w:r>
      <w:r w:rsidRPr="00C8397D">
        <w:rPr>
          <w:rFonts w:ascii="Times New Roman" w:hAnsi="Times New Roman"/>
          <w:sz w:val="28"/>
          <w:szCs w:val="28"/>
          <w:lang w:val="ru-RU"/>
        </w:rPr>
        <w:t xml:space="preserve"> є першим 5-ти зірковім готелем України, що має 100-річний досвід гостинності та розташований у центрі міста, недалеко від Бессарабського ринку та вул. Хрещатик. Увесь другий поверх готелю складається із залів та кімнат, що використовуються для конференцій, семінарів, симпозіумів та ділових зустрічей. “Софіївський Гранд Хол» готелю площею </w:t>
      </w:r>
      <w:smartTag w:uri="urn:schemas-microsoft-com:office:smarttags" w:element="metricconverter">
        <w:smartTagPr>
          <w:attr w:name="ProductID" w:val="305 кв. м"/>
        </w:smartTagPr>
        <w:r w:rsidRPr="00C8397D">
          <w:rPr>
            <w:rFonts w:ascii="Times New Roman" w:hAnsi="Times New Roman"/>
            <w:sz w:val="28"/>
            <w:szCs w:val="28"/>
            <w:lang w:val="ru-RU"/>
          </w:rPr>
          <w:t>305 кв. м</w:t>
        </w:r>
      </w:smartTag>
      <w:r w:rsidRPr="00C8397D">
        <w:rPr>
          <w:rFonts w:ascii="Times New Roman" w:hAnsi="Times New Roman"/>
          <w:sz w:val="28"/>
          <w:szCs w:val="28"/>
          <w:lang w:val="ru-RU"/>
        </w:rPr>
        <w:t xml:space="preserve"> та місткістю 350 посадочних місць, устаткований </w:t>
      </w:r>
      <w:r w:rsidRPr="00C8397D">
        <w:rPr>
          <w:rFonts w:ascii="Times New Roman" w:hAnsi="Times New Roman"/>
          <w:sz w:val="28"/>
          <w:szCs w:val="28"/>
          <w:lang w:val="ru-RU"/>
        </w:rPr>
        <w:lastRenderedPageBreak/>
        <w:t>високоякісним технічним обладнанням, необхідним для повноцінної конференції, з можливістю розділення приміщення на 4 або 2 частини. Два інші зали, «Володимирський Хол» (</w:t>
      </w:r>
      <w:smartTag w:uri="urn:schemas-microsoft-com:office:smarttags" w:element="metricconverter">
        <w:smartTagPr>
          <w:attr w:name="ProductID" w:val="36 кв. м"/>
        </w:smartTagPr>
        <w:r w:rsidRPr="00C8397D">
          <w:rPr>
            <w:rFonts w:ascii="Times New Roman" w:hAnsi="Times New Roman"/>
            <w:sz w:val="28"/>
            <w:szCs w:val="28"/>
            <w:lang w:val="ru-RU"/>
          </w:rPr>
          <w:t>36 кв. м</w:t>
        </w:r>
      </w:smartTag>
      <w:r w:rsidRPr="00C8397D">
        <w:rPr>
          <w:rFonts w:ascii="Times New Roman" w:hAnsi="Times New Roman"/>
          <w:sz w:val="28"/>
          <w:szCs w:val="28"/>
          <w:lang w:val="ru-RU"/>
        </w:rPr>
        <w:t>) та «Михайлівський Хол» (</w:t>
      </w:r>
      <w:smartTag w:uri="urn:schemas-microsoft-com:office:smarttags" w:element="metricconverter">
        <w:smartTagPr>
          <w:attr w:name="ProductID" w:val="32 кв. м"/>
        </w:smartTagPr>
        <w:r w:rsidRPr="00C8397D">
          <w:rPr>
            <w:rFonts w:ascii="Times New Roman" w:hAnsi="Times New Roman"/>
            <w:sz w:val="28"/>
            <w:szCs w:val="28"/>
            <w:lang w:val="ru-RU"/>
          </w:rPr>
          <w:t>32 кв. м</w:t>
        </w:r>
      </w:smartTag>
      <w:r w:rsidRPr="00C8397D">
        <w:rPr>
          <w:rFonts w:ascii="Times New Roman" w:hAnsi="Times New Roman"/>
          <w:sz w:val="28"/>
          <w:szCs w:val="28"/>
          <w:lang w:val="ru-RU"/>
        </w:rPr>
        <w:t>), є меншими за розміром та розраховані на не більше, ніж 30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5-ти зірковий готель Intercontinental</w:t>
      </w:r>
      <w:r w:rsidRPr="00C8397D">
        <w:rPr>
          <w:rFonts w:ascii="Times New Roman" w:hAnsi="Times New Roman"/>
          <w:sz w:val="28"/>
          <w:szCs w:val="28"/>
          <w:lang w:val="ru-RU"/>
        </w:rPr>
        <w:t xml:space="preserve"> розташований в історичному центрі Києва, у пішохідній близькості від готелю Hyatt Regency та Майдану Незалежності. Готель має конференц-хол площею </w:t>
      </w:r>
      <w:smartTag w:uri="urn:schemas-microsoft-com:office:smarttags" w:element="metricconverter">
        <w:smartTagPr>
          <w:attr w:name="ProductID" w:val="225 кв. м"/>
        </w:smartTagPr>
        <w:r w:rsidRPr="00C8397D">
          <w:rPr>
            <w:rFonts w:ascii="Times New Roman" w:hAnsi="Times New Roman"/>
            <w:sz w:val="28"/>
            <w:szCs w:val="28"/>
            <w:lang w:val="ru-RU"/>
          </w:rPr>
          <w:t>225 кв. м</w:t>
        </w:r>
      </w:smartTag>
      <w:r w:rsidRPr="00C8397D">
        <w:rPr>
          <w:rFonts w:ascii="Times New Roman" w:hAnsi="Times New Roman"/>
          <w:sz w:val="28"/>
          <w:szCs w:val="28"/>
          <w:lang w:val="ru-RU"/>
        </w:rPr>
        <w:t xml:space="preserve"> та місткістю 220 посадочних місць, що може бути розділений на 2 менші конференц-кімнати, a також Великий банкетний зал (</w:t>
      </w:r>
      <w:smartTag w:uri="urn:schemas-microsoft-com:office:smarttags" w:element="metricconverter">
        <w:smartTagPr>
          <w:attr w:name="ProductID" w:val="385 кв. м"/>
        </w:smartTagPr>
        <w:r w:rsidRPr="00C8397D">
          <w:rPr>
            <w:rFonts w:ascii="Times New Roman" w:hAnsi="Times New Roman"/>
            <w:sz w:val="28"/>
            <w:szCs w:val="28"/>
            <w:lang w:val="ru-RU"/>
          </w:rPr>
          <w:t>385 кв. м</w:t>
        </w:r>
      </w:smartTag>
      <w:r w:rsidRPr="00C8397D">
        <w:rPr>
          <w:rFonts w:ascii="Times New Roman" w:hAnsi="Times New Roman"/>
          <w:sz w:val="28"/>
          <w:szCs w:val="28"/>
          <w:lang w:val="ru-RU"/>
        </w:rPr>
        <w:t>) на 460 посадочних місць та 2 зали для засідань на 60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5-ти зірковий готель </w:t>
      </w:r>
      <w:r w:rsidRPr="00C8397D">
        <w:rPr>
          <w:rFonts w:ascii="Times New Roman" w:hAnsi="Times New Roman"/>
          <w:b/>
          <w:sz w:val="28"/>
          <w:szCs w:val="28"/>
          <w:lang w:val="ru-RU"/>
        </w:rPr>
        <w:t>Fairmont Grand Hotel Kyiv</w:t>
      </w:r>
      <w:r w:rsidRPr="00C8397D">
        <w:rPr>
          <w:rFonts w:ascii="Times New Roman" w:hAnsi="Times New Roman"/>
          <w:sz w:val="28"/>
          <w:szCs w:val="28"/>
          <w:lang w:val="ru-RU"/>
        </w:rPr>
        <w:t xml:space="preserve"> відкрився навесні 2012 року по вул. Набережно-Хрещатицькій у Подільському районі міста на березі ріки Дніпро. У новому готелі - 258 номери.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Загальна площа конференційних приміщень готелю складає </w:t>
      </w:r>
      <w:smartTag w:uri="urn:schemas-microsoft-com:office:smarttags" w:element="metricconverter">
        <w:smartTagPr>
          <w:attr w:name="ProductID" w:val="1 120 кв. м"/>
        </w:smartTagPr>
        <w:r w:rsidRPr="00C8397D">
          <w:rPr>
            <w:rFonts w:ascii="Times New Roman" w:hAnsi="Times New Roman"/>
            <w:sz w:val="28"/>
            <w:szCs w:val="28"/>
            <w:lang w:val="ru-RU"/>
          </w:rPr>
          <w:t>1 120 кв. м</w:t>
        </w:r>
      </w:smartTag>
      <w:r w:rsidRPr="00C8397D">
        <w:rPr>
          <w:rFonts w:ascii="Times New Roman" w:hAnsi="Times New Roman"/>
          <w:sz w:val="28"/>
          <w:szCs w:val="28"/>
          <w:lang w:val="ru-RU"/>
        </w:rPr>
        <w:t xml:space="preserve">, включаючи конференц-хол з банкетним залом площею </w:t>
      </w:r>
      <w:smartTag w:uri="urn:schemas-microsoft-com:office:smarttags" w:element="metricconverter">
        <w:smartTagPr>
          <w:attr w:name="ProductID" w:val="480 кв. м"/>
        </w:smartTagPr>
        <w:r w:rsidRPr="00C8397D">
          <w:rPr>
            <w:rFonts w:ascii="Times New Roman" w:hAnsi="Times New Roman"/>
            <w:sz w:val="28"/>
            <w:szCs w:val="28"/>
            <w:lang w:val="ru-RU"/>
          </w:rPr>
          <w:t>480 кв. м</w:t>
        </w:r>
      </w:smartTag>
      <w:r w:rsidRPr="00C8397D">
        <w:rPr>
          <w:rFonts w:ascii="Times New Roman" w:hAnsi="Times New Roman"/>
          <w:sz w:val="28"/>
          <w:szCs w:val="28"/>
          <w:lang w:val="ru-RU"/>
        </w:rPr>
        <w:t>, зал для засідань, вісім переговорних кімнат та Atrium Lounge, що використовується для приватних заходів.</w:t>
      </w:r>
    </w:p>
    <w:p w:rsidR="00192005" w:rsidRPr="00C8397D" w:rsidRDefault="00192005" w:rsidP="0019200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високої цінової категорії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Готелями високої цінової категорії у Києві є Radisson Blu, «Опера» та «Рів’єра». Усі вони розташовані у центрі міста, але мають обмежену кількість приміщень для зустрічей, та орієнтуються здебільшого на клієнтів корпоративного сегменту.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Деякі з цих готелів пропонують спеціальні програми для тих клієнтів, що бажають провести конференцію. Наприклад, Radisson Blu пропонує своїм постояльцям спеціальну програму ‘Goldpoint Plus’, що надає бонуси кожному організаторові заходу, проведеному у готелі.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4.3.3</w:t>
      </w:r>
      <w:r w:rsidRPr="00C8397D">
        <w:rPr>
          <w:rFonts w:ascii="Times New Roman" w:hAnsi="Times New Roman"/>
          <w:sz w:val="28"/>
          <w:szCs w:val="28"/>
          <w:lang w:val="ru-RU"/>
        </w:rPr>
        <w:t>.1 - Конференц-приміщення у існуючих готелях високої цінової категорії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292"/>
        <w:gridCol w:w="2341"/>
        <w:gridCol w:w="2242"/>
      </w:tblGrid>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 </w:t>
            </w:r>
            <w:r w:rsidRPr="00C8397D">
              <w:rPr>
                <w:rFonts w:ascii="Times New Roman" w:hAnsi="Times New Roman"/>
                <w:sz w:val="28"/>
                <w:szCs w:val="28"/>
                <w:lang w:val="ru-RU"/>
              </w:rPr>
              <w:lastRenderedPageBreak/>
              <w:t>п/п</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Назва</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Місткість, чол.</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Площа, кв.м</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Radisson</w:t>
            </w:r>
            <w:r w:rsidRPr="00C8397D">
              <w:rPr>
                <w:rFonts w:ascii="Times New Roman" w:hAnsi="Times New Roman"/>
                <w:sz w:val="28"/>
                <w:szCs w:val="28"/>
                <w:lang w:val="ru-RU"/>
              </w:rPr>
              <w:t xml:space="preserve"> </w:t>
            </w:r>
            <w:r w:rsidRPr="00C8397D">
              <w:rPr>
                <w:rFonts w:ascii="Times New Roman" w:hAnsi="Times New Roman"/>
                <w:sz w:val="28"/>
                <w:szCs w:val="28"/>
              </w:rPr>
              <w:t>Blu</w:t>
            </w:r>
            <w:r w:rsidRPr="00C8397D">
              <w:rPr>
                <w:rFonts w:ascii="Times New Roman" w:hAnsi="Times New Roman"/>
                <w:sz w:val="28"/>
                <w:szCs w:val="28"/>
                <w:lang w:val="ru-RU"/>
              </w:rPr>
              <w:br/>
            </w:r>
            <w:r w:rsidRPr="00C8397D">
              <w:rPr>
                <w:rFonts w:ascii="Times New Roman" w:hAnsi="Times New Roman"/>
                <w:sz w:val="28"/>
                <w:szCs w:val="28"/>
                <w:lang w:val="uk-UA"/>
              </w:rPr>
              <w:t xml:space="preserve">Зал </w:t>
            </w:r>
            <w:r w:rsidRPr="00C8397D">
              <w:rPr>
                <w:rFonts w:ascii="Times New Roman" w:hAnsi="Times New Roman"/>
                <w:sz w:val="28"/>
                <w:szCs w:val="28"/>
                <w:lang w:val="ru-RU"/>
              </w:rPr>
              <w:t xml:space="preserve"> </w:t>
            </w:r>
            <w:r w:rsidRPr="00C8397D">
              <w:rPr>
                <w:rFonts w:ascii="Times New Roman" w:hAnsi="Times New Roman"/>
                <w:sz w:val="28"/>
                <w:szCs w:val="28"/>
              </w:rPr>
              <w:t>Embassy</w:t>
            </w:r>
            <w:r w:rsidRPr="00C8397D">
              <w:rPr>
                <w:rFonts w:ascii="Times New Roman" w:hAnsi="Times New Roman"/>
                <w:sz w:val="28"/>
                <w:szCs w:val="28"/>
                <w:lang w:val="ru-RU"/>
              </w:rPr>
              <w:t xml:space="preserve"> </w:t>
            </w:r>
            <w:r w:rsidRPr="00C8397D">
              <w:rPr>
                <w:rFonts w:ascii="Times New Roman" w:hAnsi="Times New Roman"/>
                <w:sz w:val="28"/>
                <w:szCs w:val="28"/>
              </w:rPr>
              <w:t>Suite</w:t>
            </w:r>
            <w:r w:rsidRPr="00C8397D">
              <w:rPr>
                <w:rFonts w:ascii="Times New Roman" w:hAnsi="Times New Roman"/>
                <w:sz w:val="28"/>
                <w:szCs w:val="28"/>
                <w:lang w:val="uk-UA"/>
              </w:rPr>
              <w:br/>
              <w:t>3 кімнати для переговорів</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130-250</w:t>
            </w:r>
            <w:r w:rsidRPr="00C8397D">
              <w:rPr>
                <w:rFonts w:ascii="Times New Roman" w:hAnsi="Times New Roman"/>
                <w:sz w:val="28"/>
                <w:szCs w:val="28"/>
                <w:lang w:val="ru-RU"/>
              </w:rPr>
              <w:br/>
              <w:t>18-30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204</w:t>
            </w:r>
            <w:r w:rsidRPr="00C8397D">
              <w:rPr>
                <w:rFonts w:ascii="Times New Roman" w:hAnsi="Times New Roman"/>
                <w:sz w:val="28"/>
                <w:szCs w:val="28"/>
                <w:lang w:val="ru-RU"/>
              </w:rPr>
              <w:br/>
              <w:t>28</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«Опера»</w:t>
            </w:r>
            <w:r w:rsidRPr="00C8397D">
              <w:rPr>
                <w:rFonts w:ascii="Times New Roman" w:hAnsi="Times New Roman"/>
                <w:sz w:val="28"/>
                <w:szCs w:val="28"/>
                <w:lang w:val="ru-RU"/>
              </w:rPr>
              <w:br/>
              <w:t>5 конференц-залів, що можуть бути зєднані в 1 великий конференц-хол «Симфонія»</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250 місць у конференц-холі або:</w:t>
            </w:r>
            <w:r w:rsidRPr="00C8397D">
              <w:rPr>
                <w:rFonts w:ascii="Times New Roman" w:hAnsi="Times New Roman"/>
                <w:sz w:val="28"/>
                <w:szCs w:val="28"/>
                <w:lang w:val="ru-RU"/>
              </w:rPr>
              <w:br/>
              <w:t>- до 35 місць у кожній з 4 кімнат</w:t>
            </w:r>
            <w:r w:rsidRPr="00C8397D">
              <w:rPr>
                <w:rFonts w:ascii="Times New Roman" w:hAnsi="Times New Roman"/>
                <w:sz w:val="28"/>
                <w:szCs w:val="28"/>
                <w:lang w:val="ru-RU"/>
              </w:rPr>
              <w:br/>
              <w:t>- до 100 місць в 1 великій залі</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232 кв.м включаючи:</w:t>
            </w:r>
            <w:r w:rsidRPr="00C8397D">
              <w:rPr>
                <w:rFonts w:ascii="Times New Roman" w:hAnsi="Times New Roman"/>
                <w:sz w:val="28"/>
                <w:szCs w:val="28"/>
                <w:lang w:val="ru-RU"/>
              </w:rPr>
              <w:br/>
              <w:t>- 4 кімнати по 40 кв.м кожна</w:t>
            </w:r>
            <w:r w:rsidRPr="00C8397D">
              <w:rPr>
                <w:rFonts w:ascii="Times New Roman" w:hAnsi="Times New Roman"/>
                <w:sz w:val="28"/>
                <w:szCs w:val="28"/>
                <w:lang w:val="ru-RU"/>
              </w:rPr>
              <w:br/>
              <w:t xml:space="preserve">- 1 кімната, 100 кв.м </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«Рівєра»</w:t>
            </w:r>
            <w:r w:rsidRPr="00C8397D">
              <w:rPr>
                <w:rFonts w:ascii="Times New Roman" w:hAnsi="Times New Roman"/>
                <w:sz w:val="28"/>
                <w:szCs w:val="28"/>
                <w:lang w:val="ru-RU"/>
              </w:rPr>
              <w:br/>
              <w:t>Кімната для конференцій</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70-80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75</w:t>
            </w:r>
          </w:p>
        </w:tc>
      </w:tr>
    </w:tbl>
    <w:p w:rsidR="00192005" w:rsidRPr="00C8397D" w:rsidRDefault="00192005" w:rsidP="0019200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середньої цінової категорії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Єдиним готелем середньої цінової категорії під управлінням міжнародної готельної мережі є 3-зірковий готель Ramada Encore Kiev, відкритий компанією </w:t>
      </w:r>
      <w:r w:rsidRPr="00C8397D">
        <w:rPr>
          <w:rFonts w:ascii="Times New Roman" w:hAnsi="Times New Roman"/>
          <w:sz w:val="28"/>
          <w:szCs w:val="28"/>
        </w:rPr>
        <w:t xml:space="preserve">Wyndham Hotel Group International </w:t>
      </w:r>
      <w:r w:rsidRPr="00C8397D">
        <w:rPr>
          <w:rFonts w:ascii="Times New Roman" w:hAnsi="Times New Roman"/>
          <w:sz w:val="28"/>
          <w:szCs w:val="28"/>
          <w:lang w:val="ru-RU"/>
        </w:rPr>
        <w:t>на</w:t>
      </w:r>
      <w:r w:rsidRPr="00C8397D">
        <w:rPr>
          <w:rFonts w:ascii="Times New Roman" w:hAnsi="Times New Roman"/>
          <w:sz w:val="28"/>
          <w:szCs w:val="28"/>
        </w:rPr>
        <w:t xml:space="preserve"> </w:t>
      </w:r>
      <w:r w:rsidRPr="00C8397D">
        <w:rPr>
          <w:rFonts w:ascii="Times New Roman" w:hAnsi="Times New Roman"/>
          <w:sz w:val="28"/>
          <w:szCs w:val="28"/>
          <w:lang w:val="ru-RU"/>
        </w:rPr>
        <w:t>початку</w:t>
      </w:r>
      <w:r w:rsidRPr="00C8397D">
        <w:rPr>
          <w:rFonts w:ascii="Times New Roman" w:hAnsi="Times New Roman"/>
          <w:sz w:val="28"/>
          <w:szCs w:val="28"/>
        </w:rPr>
        <w:t xml:space="preserve"> </w:t>
      </w:r>
      <w:r w:rsidRPr="00C8397D">
        <w:rPr>
          <w:rFonts w:ascii="Times New Roman" w:hAnsi="Times New Roman"/>
          <w:sz w:val="28"/>
          <w:szCs w:val="28"/>
          <w:lang w:val="ru-RU"/>
        </w:rPr>
        <w:t>червня</w:t>
      </w:r>
      <w:r w:rsidRPr="00C8397D">
        <w:rPr>
          <w:rFonts w:ascii="Times New Roman" w:hAnsi="Times New Roman"/>
          <w:sz w:val="28"/>
          <w:szCs w:val="28"/>
        </w:rPr>
        <w:t xml:space="preserve"> 2012 </w:t>
      </w:r>
      <w:r w:rsidRPr="00C8397D">
        <w:rPr>
          <w:rFonts w:ascii="Times New Roman" w:hAnsi="Times New Roman"/>
          <w:sz w:val="28"/>
          <w:szCs w:val="28"/>
          <w:lang w:val="ru-RU"/>
        </w:rPr>
        <w:t>року</w:t>
      </w:r>
      <w:r w:rsidRPr="00C8397D">
        <w:rPr>
          <w:rFonts w:ascii="Times New Roman" w:hAnsi="Times New Roman"/>
          <w:sz w:val="28"/>
          <w:szCs w:val="28"/>
        </w:rPr>
        <w:t xml:space="preserve"> </w:t>
      </w:r>
      <w:r w:rsidRPr="00C8397D">
        <w:rPr>
          <w:rFonts w:ascii="Times New Roman" w:hAnsi="Times New Roman"/>
          <w:sz w:val="28"/>
          <w:szCs w:val="28"/>
          <w:lang w:val="ru-RU"/>
        </w:rPr>
        <w:t>по</w:t>
      </w:r>
      <w:r w:rsidRPr="00C8397D">
        <w:rPr>
          <w:rFonts w:ascii="Times New Roman" w:hAnsi="Times New Roman"/>
          <w:sz w:val="28"/>
          <w:szCs w:val="28"/>
        </w:rPr>
        <w:t xml:space="preserve"> </w:t>
      </w:r>
      <w:r w:rsidRPr="00C8397D">
        <w:rPr>
          <w:rFonts w:ascii="Times New Roman" w:hAnsi="Times New Roman"/>
          <w:sz w:val="28"/>
          <w:szCs w:val="28"/>
          <w:lang w:val="ru-RU"/>
        </w:rPr>
        <w:t>вул</w:t>
      </w:r>
      <w:r w:rsidRPr="00C8397D">
        <w:rPr>
          <w:rFonts w:ascii="Times New Roman" w:hAnsi="Times New Roman"/>
          <w:sz w:val="28"/>
          <w:szCs w:val="28"/>
        </w:rPr>
        <w:t xml:space="preserve">. </w:t>
      </w:r>
      <w:r w:rsidRPr="00C8397D">
        <w:rPr>
          <w:rFonts w:ascii="Times New Roman" w:hAnsi="Times New Roman"/>
          <w:sz w:val="28"/>
          <w:szCs w:val="28"/>
          <w:lang w:val="ru-RU"/>
        </w:rPr>
        <w:t xml:space="preserve">Столичне Шоссе, 103 у південній частині міста. Готель має конференц-центр площею </w:t>
      </w:r>
      <w:smartTag w:uri="urn:schemas-microsoft-com:office:smarttags" w:element="metricconverter">
        <w:smartTagPr>
          <w:attr w:name="ProductID" w:val="1 200 кв. м"/>
        </w:smartTagPr>
        <w:r w:rsidRPr="00C8397D">
          <w:rPr>
            <w:rFonts w:ascii="Times New Roman" w:hAnsi="Times New Roman"/>
            <w:sz w:val="28"/>
            <w:szCs w:val="28"/>
            <w:lang w:val="ru-RU"/>
          </w:rPr>
          <w:t xml:space="preserve">1 </w:t>
        </w:r>
        <w:smartTag w:uri="urn:schemas-microsoft-com:office:smarttags" w:element="metricconverter">
          <w:smartTagPr>
            <w:attr w:name="ProductID" w:val="200 кв. м"/>
          </w:smartTagPr>
          <w:r w:rsidRPr="00C8397D">
            <w:rPr>
              <w:rFonts w:ascii="Times New Roman" w:hAnsi="Times New Roman"/>
              <w:sz w:val="28"/>
              <w:szCs w:val="28"/>
              <w:lang w:val="ru-RU"/>
            </w:rPr>
            <w:t>200 кв. м</w:t>
          </w:r>
        </w:smartTag>
      </w:smartTag>
      <w:r w:rsidRPr="00C8397D">
        <w:rPr>
          <w:rFonts w:ascii="Times New Roman" w:hAnsi="Times New Roman"/>
          <w:sz w:val="28"/>
          <w:szCs w:val="28"/>
          <w:lang w:val="ru-RU"/>
        </w:rPr>
        <w:t xml:space="preserve">, що складається з конференц-залу (площею </w:t>
      </w:r>
      <w:smartTag w:uri="urn:schemas-microsoft-com:office:smarttags" w:element="metricconverter">
        <w:smartTagPr>
          <w:attr w:name="ProductID" w:val="245 кв. м"/>
        </w:smartTagPr>
        <w:r w:rsidRPr="00C8397D">
          <w:rPr>
            <w:rFonts w:ascii="Times New Roman" w:hAnsi="Times New Roman"/>
            <w:sz w:val="28"/>
            <w:szCs w:val="28"/>
            <w:lang w:val="ru-RU"/>
          </w:rPr>
          <w:t>245 кв. м</w:t>
        </w:r>
      </w:smartTag>
      <w:r w:rsidRPr="00C8397D">
        <w:rPr>
          <w:rFonts w:ascii="Times New Roman" w:hAnsi="Times New Roman"/>
          <w:sz w:val="28"/>
          <w:szCs w:val="28"/>
          <w:lang w:val="ru-RU"/>
        </w:rPr>
        <w:t xml:space="preserve"> на 160 посадочних місць при розміщенні «театром», та 300 стоячих місць при проведенні фуршетів), 6 повністю обладнаних кімнат для переговорів (40-</w:t>
      </w:r>
      <w:smartTag w:uri="urn:schemas-microsoft-com:office:smarttags" w:element="metricconverter">
        <w:smartTagPr>
          <w:attr w:name="ProductID" w:val="60 кв. м"/>
        </w:smartTagPr>
        <w:r w:rsidRPr="00C8397D">
          <w:rPr>
            <w:rFonts w:ascii="Times New Roman" w:hAnsi="Times New Roman"/>
            <w:sz w:val="28"/>
            <w:szCs w:val="28"/>
            <w:lang w:val="ru-RU"/>
          </w:rPr>
          <w:t>60 кв. м</w:t>
        </w:r>
      </w:smartTag>
      <w:r w:rsidRPr="00C8397D">
        <w:rPr>
          <w:rFonts w:ascii="Times New Roman" w:hAnsi="Times New Roman"/>
          <w:sz w:val="28"/>
          <w:szCs w:val="28"/>
          <w:lang w:val="ru-RU"/>
        </w:rPr>
        <w:t xml:space="preserve"> кожна), просторого фойє та зони для перерв на каву (</w:t>
      </w:r>
      <w:smartTag w:uri="urn:schemas-microsoft-com:office:smarttags" w:element="metricconverter">
        <w:smartTagPr>
          <w:attr w:name="ProductID" w:val="178 кв. м"/>
        </w:smartTagPr>
        <w:r w:rsidRPr="00C8397D">
          <w:rPr>
            <w:rFonts w:ascii="Times New Roman" w:hAnsi="Times New Roman"/>
            <w:sz w:val="28"/>
            <w:szCs w:val="28"/>
            <w:lang w:val="ru-RU"/>
          </w:rPr>
          <w:t>178 кв. м</w:t>
        </w:r>
      </w:smartTag>
      <w:r w:rsidRPr="00C8397D">
        <w:rPr>
          <w:rFonts w:ascii="Times New Roman" w:hAnsi="Times New Roman"/>
          <w:sz w:val="28"/>
          <w:szCs w:val="28"/>
          <w:lang w:val="ru-RU"/>
        </w:rPr>
        <w:t>), кімнати для відпочинку (</w:t>
      </w:r>
      <w:smartTag w:uri="urn:schemas-microsoft-com:office:smarttags" w:element="metricconverter">
        <w:smartTagPr>
          <w:attr w:name="ProductID" w:val="52 кв. м"/>
        </w:smartTagPr>
        <w:r w:rsidRPr="00C8397D">
          <w:rPr>
            <w:rFonts w:ascii="Times New Roman" w:hAnsi="Times New Roman"/>
            <w:sz w:val="28"/>
            <w:szCs w:val="28"/>
            <w:lang w:val="ru-RU"/>
          </w:rPr>
          <w:t>52 кв. м</w:t>
        </w:r>
      </w:smartTag>
      <w:r w:rsidRPr="00C8397D">
        <w:rPr>
          <w:rFonts w:ascii="Times New Roman" w:hAnsi="Times New Roman"/>
          <w:sz w:val="28"/>
          <w:szCs w:val="28"/>
          <w:lang w:val="ru-RU"/>
        </w:rPr>
        <w:t>), а також окремої гардеробної та лаундж зони. Вартість оренди конференц-приміщень у готелі Ramada Encore Kiev є 1 900 євро за один робочий день, з ПДВ. Обладнання для конференцій пропонується за додаткову ціну.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Києві ця категорія готелів представлена в основному місцевими готелями типу «Президент», «Національний», «Київ», «Дніпро», «Україна», «Хрещатик», «Поділ Плаза», «Воздвиженський», «Джинтама», «Домус» та «Русь».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Більшість з цих готелів (наприклад, «Президент», «Національний», «Київ», «Дніпро», «Україна», «Хрещатик») були побудовані ще за радянських часів у центральній частині Києва та були поновлені пізніше. Вони звичайно пропонують адекватні послуги та можуть бути класифіковані як готелі від низької до вище середньої цінової категорії. Ці готелі в основному орієнтуються на чутливих до цін корпоративних та конференц-клієнтів та іноді на туристичні групи. Економічна криза змусила їх перевести акцент у пошуці клієнтів на туристичні групи більше, ніж раніше, оскільки конференційна діяльність значно зменшилася.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Один з готелів з найустаткованішими та найбільшими конференц-залами серед цієї категорії і взагалі у Києві є «Президент Готель». Він пропонує спеціальний конференц-пакет вартістю $18-20 (142-147 гривні) на одну людину, без ПДВ. Пакет включає в себе оренду конференц-залу, обладнання, фліп-чарт, екран, записник, ручку, воду, вартість перерви на каву, обіду або вечері.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 середньої цінової категорії часто мають велику площу і таким чином можуть запропонувати найбільші приміщення для конференцій у Києві. Деякі з цих готелів, що були побудовані за радянських часів, мають приміщення унікального архітектурного характеру, а саме великі зали місткістю до 400-500 посадочних місць (наприклад, «Президент Готель» та «Русь»). Вважається, що саме завдяки розміру їх конференційних приміщень ці готелі є нині конкурентоспроможними.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4.3.3.2</w:t>
      </w:r>
      <w:r w:rsidRPr="00C8397D">
        <w:rPr>
          <w:rFonts w:ascii="Times New Roman" w:hAnsi="Times New Roman"/>
          <w:sz w:val="28"/>
          <w:szCs w:val="28"/>
          <w:lang w:val="ru-RU"/>
        </w:rPr>
        <w:t xml:space="preserve"> - Конференц-приміщення у існуючих готелях середньої цінової категорії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3330"/>
        <w:gridCol w:w="1832"/>
        <w:gridCol w:w="1512"/>
        <w:gridCol w:w="2070"/>
      </w:tblGrid>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п/п</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Місткість, чол.</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Площа, кв.м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Ціна, грн./годину</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«Президент Готель»</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r>
            <w:r w:rsidRPr="00C8397D">
              <w:rPr>
                <w:rFonts w:ascii="Times New Roman" w:hAnsi="Times New Roman"/>
                <w:sz w:val="28"/>
                <w:szCs w:val="28"/>
                <w:lang w:val="ru-RU"/>
              </w:rPr>
              <w:lastRenderedPageBreak/>
              <w:t>Конференц-зал 4</w:t>
            </w:r>
            <w:r w:rsidRPr="00C8397D">
              <w:rPr>
                <w:rFonts w:ascii="Times New Roman" w:hAnsi="Times New Roman"/>
                <w:sz w:val="28"/>
                <w:szCs w:val="28"/>
                <w:lang w:val="ru-RU"/>
              </w:rPr>
              <w:br/>
              <w:t>Конференц-зал 5</w:t>
            </w:r>
            <w:r w:rsidRPr="00C8397D">
              <w:rPr>
                <w:rFonts w:ascii="Times New Roman" w:hAnsi="Times New Roman"/>
                <w:sz w:val="28"/>
                <w:szCs w:val="28"/>
                <w:lang w:val="ru-RU"/>
              </w:rPr>
              <w:br/>
              <w:t>Конференц-зал 6</w:t>
            </w:r>
            <w:r w:rsidRPr="00C8397D">
              <w:rPr>
                <w:rFonts w:ascii="Times New Roman" w:hAnsi="Times New Roman"/>
                <w:sz w:val="28"/>
                <w:szCs w:val="28"/>
                <w:lang w:val="ru-RU"/>
              </w:rPr>
              <w:br/>
              <w:t>Конференц-зал 7</w:t>
            </w:r>
            <w:r w:rsidRPr="00C8397D">
              <w:rPr>
                <w:rFonts w:ascii="Times New Roman" w:hAnsi="Times New Roman"/>
                <w:sz w:val="28"/>
                <w:szCs w:val="28"/>
                <w:lang w:val="ru-RU"/>
              </w:rPr>
              <w:br/>
              <w:t>Конференц-зал 8</w:t>
            </w:r>
            <w:r w:rsidRPr="00C8397D">
              <w:rPr>
                <w:rFonts w:ascii="Times New Roman" w:hAnsi="Times New Roman"/>
                <w:sz w:val="28"/>
                <w:szCs w:val="28"/>
                <w:lang w:val="ru-RU"/>
              </w:rPr>
              <w:br/>
              <w:t>Конференц-зал 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t>50-250</w:t>
            </w:r>
            <w:r w:rsidRPr="00C8397D">
              <w:rPr>
                <w:rFonts w:ascii="Times New Roman" w:hAnsi="Times New Roman"/>
                <w:sz w:val="28"/>
                <w:szCs w:val="28"/>
                <w:lang w:val="ru-RU"/>
              </w:rPr>
              <w:br/>
              <w:t>465</w:t>
            </w:r>
            <w:r w:rsidRPr="00C8397D">
              <w:rPr>
                <w:rFonts w:ascii="Times New Roman" w:hAnsi="Times New Roman"/>
                <w:sz w:val="28"/>
                <w:szCs w:val="28"/>
                <w:lang w:val="ru-RU"/>
              </w:rPr>
              <w:br/>
              <w:t>100</w:t>
            </w:r>
            <w:r w:rsidRPr="00C8397D">
              <w:rPr>
                <w:rFonts w:ascii="Times New Roman" w:hAnsi="Times New Roman"/>
                <w:sz w:val="28"/>
                <w:szCs w:val="28"/>
                <w:lang w:val="ru-RU"/>
              </w:rPr>
              <w:br/>
            </w:r>
            <w:r w:rsidRPr="00C8397D">
              <w:rPr>
                <w:rFonts w:ascii="Times New Roman" w:hAnsi="Times New Roman"/>
                <w:sz w:val="28"/>
                <w:szCs w:val="28"/>
                <w:lang w:val="ru-RU"/>
              </w:rPr>
              <w:lastRenderedPageBreak/>
              <w:t>50-160</w:t>
            </w:r>
            <w:r w:rsidRPr="00C8397D">
              <w:rPr>
                <w:rFonts w:ascii="Times New Roman" w:hAnsi="Times New Roman"/>
                <w:sz w:val="28"/>
                <w:szCs w:val="28"/>
                <w:lang w:val="ru-RU"/>
              </w:rPr>
              <w:br/>
              <w:t>25-50</w:t>
            </w:r>
            <w:r w:rsidRPr="00C8397D">
              <w:rPr>
                <w:rFonts w:ascii="Times New Roman" w:hAnsi="Times New Roman"/>
                <w:sz w:val="28"/>
                <w:szCs w:val="28"/>
                <w:lang w:val="ru-RU"/>
              </w:rPr>
              <w:br/>
              <w:t>250-450</w:t>
            </w:r>
            <w:r w:rsidRPr="00C8397D">
              <w:rPr>
                <w:rFonts w:ascii="Times New Roman" w:hAnsi="Times New Roman"/>
                <w:sz w:val="28"/>
                <w:szCs w:val="28"/>
                <w:lang w:val="ru-RU"/>
              </w:rPr>
              <w:br/>
              <w:t>18-30</w:t>
            </w:r>
            <w:r w:rsidRPr="00C8397D">
              <w:rPr>
                <w:rFonts w:ascii="Times New Roman" w:hAnsi="Times New Roman"/>
                <w:sz w:val="28"/>
                <w:szCs w:val="28"/>
                <w:lang w:val="ru-RU"/>
              </w:rPr>
              <w:br/>
              <w:t>20-30</w:t>
            </w:r>
            <w:r w:rsidRPr="00C8397D">
              <w:rPr>
                <w:rFonts w:ascii="Times New Roman" w:hAnsi="Times New Roman"/>
                <w:sz w:val="28"/>
                <w:szCs w:val="28"/>
                <w:lang w:val="ru-RU"/>
              </w:rPr>
              <w:br/>
              <w:t>10-12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t>262</w:t>
            </w:r>
            <w:r w:rsidRPr="00C8397D">
              <w:rPr>
                <w:rFonts w:ascii="Times New Roman" w:hAnsi="Times New Roman"/>
                <w:sz w:val="28"/>
                <w:szCs w:val="28"/>
                <w:lang w:val="ru-RU"/>
              </w:rPr>
              <w:br/>
              <w:t>350</w:t>
            </w:r>
            <w:r w:rsidRPr="00C8397D">
              <w:rPr>
                <w:rFonts w:ascii="Times New Roman" w:hAnsi="Times New Roman"/>
                <w:sz w:val="28"/>
                <w:szCs w:val="28"/>
                <w:lang w:val="ru-RU"/>
              </w:rPr>
              <w:br/>
              <w:t>132</w:t>
            </w:r>
            <w:r w:rsidRPr="00C8397D">
              <w:rPr>
                <w:rFonts w:ascii="Times New Roman" w:hAnsi="Times New Roman"/>
                <w:sz w:val="28"/>
                <w:szCs w:val="28"/>
                <w:lang w:val="ru-RU"/>
              </w:rPr>
              <w:br/>
            </w:r>
            <w:r w:rsidRPr="00C8397D">
              <w:rPr>
                <w:rFonts w:ascii="Times New Roman" w:hAnsi="Times New Roman"/>
                <w:sz w:val="28"/>
                <w:szCs w:val="28"/>
                <w:lang w:val="ru-RU"/>
              </w:rPr>
              <w:lastRenderedPageBreak/>
              <w:t>214</w:t>
            </w:r>
            <w:r w:rsidRPr="00C8397D">
              <w:rPr>
                <w:rFonts w:ascii="Times New Roman" w:hAnsi="Times New Roman"/>
                <w:sz w:val="28"/>
                <w:szCs w:val="28"/>
                <w:lang w:val="ru-RU"/>
              </w:rPr>
              <w:br/>
              <w:t>112</w:t>
            </w:r>
            <w:r w:rsidRPr="00C8397D">
              <w:rPr>
                <w:rFonts w:ascii="Times New Roman" w:hAnsi="Times New Roman"/>
                <w:sz w:val="28"/>
                <w:szCs w:val="28"/>
                <w:lang w:val="ru-RU"/>
              </w:rPr>
              <w:br/>
              <w:t>579</w:t>
            </w:r>
            <w:r w:rsidRPr="00C8397D">
              <w:rPr>
                <w:rFonts w:ascii="Times New Roman" w:hAnsi="Times New Roman"/>
                <w:sz w:val="28"/>
                <w:szCs w:val="28"/>
                <w:lang w:val="ru-RU"/>
              </w:rPr>
              <w:br/>
              <w:t>54</w:t>
            </w:r>
            <w:r w:rsidRPr="00C8397D">
              <w:rPr>
                <w:rFonts w:ascii="Times New Roman" w:hAnsi="Times New Roman"/>
                <w:sz w:val="28"/>
                <w:szCs w:val="28"/>
                <w:lang w:val="ru-RU"/>
              </w:rPr>
              <w:br/>
              <w:t>54</w:t>
            </w:r>
            <w:r w:rsidRPr="00C8397D">
              <w:rPr>
                <w:rFonts w:ascii="Times New Roman" w:hAnsi="Times New Roman"/>
                <w:sz w:val="28"/>
                <w:szCs w:val="28"/>
                <w:lang w:val="ru-RU"/>
              </w:rPr>
              <w:br/>
              <w:t>18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t>2500-3100</w:t>
            </w:r>
            <w:r w:rsidRPr="00C8397D">
              <w:rPr>
                <w:rFonts w:ascii="Times New Roman" w:hAnsi="Times New Roman"/>
                <w:sz w:val="28"/>
                <w:szCs w:val="28"/>
                <w:lang w:val="ru-RU"/>
              </w:rPr>
              <w:br/>
              <w:t>2318</w:t>
            </w:r>
            <w:r w:rsidRPr="00C8397D">
              <w:rPr>
                <w:rFonts w:ascii="Times New Roman" w:hAnsi="Times New Roman"/>
                <w:sz w:val="28"/>
                <w:szCs w:val="28"/>
                <w:lang w:val="ru-RU"/>
              </w:rPr>
              <w:br/>
              <w:t>773-900</w:t>
            </w:r>
            <w:r w:rsidRPr="00C8397D">
              <w:rPr>
                <w:rFonts w:ascii="Times New Roman" w:hAnsi="Times New Roman"/>
                <w:sz w:val="28"/>
                <w:szCs w:val="28"/>
                <w:lang w:val="ru-RU"/>
              </w:rPr>
              <w:br/>
            </w:r>
            <w:r w:rsidRPr="00C8397D">
              <w:rPr>
                <w:rFonts w:ascii="Times New Roman" w:hAnsi="Times New Roman"/>
                <w:sz w:val="28"/>
                <w:szCs w:val="28"/>
                <w:lang w:val="ru-RU"/>
              </w:rPr>
              <w:lastRenderedPageBreak/>
              <w:t>2575</w:t>
            </w:r>
            <w:r w:rsidRPr="00C8397D">
              <w:rPr>
                <w:rFonts w:ascii="Times New Roman" w:hAnsi="Times New Roman"/>
                <w:sz w:val="28"/>
                <w:szCs w:val="28"/>
                <w:lang w:val="ru-RU"/>
              </w:rPr>
              <w:br/>
              <w:t>1545</w:t>
            </w:r>
            <w:r w:rsidRPr="00C8397D">
              <w:rPr>
                <w:rFonts w:ascii="Times New Roman" w:hAnsi="Times New Roman"/>
                <w:sz w:val="28"/>
                <w:szCs w:val="28"/>
                <w:lang w:val="ru-RU"/>
              </w:rPr>
              <w:br/>
              <w:t>3863-4378</w:t>
            </w:r>
            <w:r w:rsidRPr="00C8397D">
              <w:rPr>
                <w:rFonts w:ascii="Times New Roman" w:hAnsi="Times New Roman"/>
                <w:sz w:val="28"/>
                <w:szCs w:val="28"/>
                <w:lang w:val="ru-RU"/>
              </w:rPr>
              <w:br/>
              <w:t>773-900</w:t>
            </w:r>
            <w:r w:rsidRPr="00C8397D">
              <w:rPr>
                <w:rFonts w:ascii="Times New Roman" w:hAnsi="Times New Roman"/>
                <w:sz w:val="28"/>
                <w:szCs w:val="28"/>
                <w:lang w:val="ru-RU"/>
              </w:rPr>
              <w:br/>
              <w:t>773-900</w:t>
            </w:r>
            <w:r w:rsidRPr="00C8397D">
              <w:rPr>
                <w:rFonts w:ascii="Times New Roman" w:hAnsi="Times New Roman"/>
                <w:sz w:val="28"/>
                <w:szCs w:val="28"/>
                <w:lang w:val="ru-RU"/>
              </w:rPr>
              <w:br/>
              <w:t>258</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«Дніпро»</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35-60</w:t>
            </w:r>
            <w:r w:rsidRPr="00C8397D">
              <w:rPr>
                <w:rFonts w:ascii="Times New Roman" w:hAnsi="Times New Roman"/>
                <w:sz w:val="28"/>
                <w:szCs w:val="28"/>
                <w:lang w:val="ru-RU"/>
              </w:rPr>
              <w:br/>
              <w:t>20</w:t>
            </w:r>
            <w:r w:rsidRPr="00C8397D">
              <w:rPr>
                <w:rFonts w:ascii="Times New Roman" w:hAnsi="Times New Roman"/>
                <w:sz w:val="28"/>
                <w:szCs w:val="28"/>
                <w:lang w:val="ru-RU"/>
              </w:rPr>
              <w:br/>
              <w:t>25-35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85</w:t>
            </w:r>
            <w:r w:rsidRPr="00C8397D">
              <w:rPr>
                <w:rFonts w:ascii="Times New Roman" w:hAnsi="Times New Roman"/>
                <w:sz w:val="28"/>
                <w:szCs w:val="28"/>
                <w:lang w:val="ru-RU"/>
              </w:rPr>
              <w:br/>
              <w:t>64</w:t>
            </w:r>
            <w:r w:rsidRPr="00C8397D">
              <w:rPr>
                <w:rFonts w:ascii="Times New Roman" w:hAnsi="Times New Roman"/>
                <w:sz w:val="28"/>
                <w:szCs w:val="28"/>
                <w:lang w:val="ru-RU"/>
              </w:rPr>
              <w:br/>
              <w:t>46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450</w:t>
            </w:r>
            <w:r w:rsidRPr="00C8397D">
              <w:rPr>
                <w:rFonts w:ascii="Times New Roman" w:hAnsi="Times New Roman"/>
                <w:sz w:val="28"/>
                <w:szCs w:val="28"/>
                <w:lang w:val="ru-RU"/>
              </w:rPr>
              <w:br/>
              <w:t>300</w:t>
            </w:r>
            <w:r w:rsidRPr="00C8397D">
              <w:rPr>
                <w:rFonts w:ascii="Times New Roman" w:hAnsi="Times New Roman"/>
                <w:sz w:val="28"/>
                <w:szCs w:val="28"/>
                <w:lang w:val="ru-RU"/>
              </w:rPr>
              <w:br/>
              <w:t>300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«Русь»</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r w:rsidRPr="00C8397D">
              <w:rPr>
                <w:rFonts w:ascii="Times New Roman" w:hAnsi="Times New Roman"/>
                <w:sz w:val="28"/>
                <w:szCs w:val="28"/>
                <w:lang w:val="ru-RU"/>
              </w:rPr>
              <w:br/>
              <w:t>Конференц-зал 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500</w:t>
            </w:r>
            <w:r w:rsidRPr="00C8397D">
              <w:rPr>
                <w:rFonts w:ascii="Times New Roman" w:hAnsi="Times New Roman"/>
                <w:sz w:val="28"/>
                <w:szCs w:val="28"/>
                <w:lang w:val="ru-RU"/>
              </w:rPr>
              <w:br/>
              <w:t>200-600</w:t>
            </w:r>
            <w:r w:rsidRPr="00C8397D">
              <w:rPr>
                <w:rFonts w:ascii="Times New Roman" w:hAnsi="Times New Roman"/>
                <w:sz w:val="28"/>
                <w:szCs w:val="28"/>
                <w:lang w:val="ru-RU"/>
              </w:rPr>
              <w:br/>
              <w:t>70-150</w:t>
            </w:r>
            <w:r w:rsidRPr="00C8397D">
              <w:rPr>
                <w:rFonts w:ascii="Times New Roman" w:hAnsi="Times New Roman"/>
                <w:sz w:val="28"/>
                <w:szCs w:val="28"/>
                <w:lang w:val="ru-RU"/>
              </w:rPr>
              <w:br/>
              <w:t>40-80</w:t>
            </w:r>
            <w:r w:rsidRPr="00C8397D">
              <w:rPr>
                <w:rFonts w:ascii="Times New Roman" w:hAnsi="Times New Roman"/>
                <w:sz w:val="28"/>
                <w:szCs w:val="28"/>
                <w:lang w:val="ru-RU"/>
              </w:rPr>
              <w:br/>
              <w:t>10-20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576</w:t>
            </w:r>
            <w:r w:rsidRPr="00C8397D">
              <w:rPr>
                <w:rFonts w:ascii="Times New Roman" w:hAnsi="Times New Roman"/>
                <w:sz w:val="28"/>
                <w:szCs w:val="28"/>
                <w:lang w:val="ru-RU"/>
              </w:rPr>
              <w:br/>
              <w:t>600</w:t>
            </w:r>
            <w:r w:rsidRPr="00C8397D">
              <w:rPr>
                <w:rFonts w:ascii="Times New Roman" w:hAnsi="Times New Roman"/>
                <w:sz w:val="28"/>
                <w:szCs w:val="28"/>
                <w:lang w:val="ru-RU"/>
              </w:rPr>
              <w:br/>
              <w:t>200</w:t>
            </w:r>
            <w:r w:rsidRPr="00C8397D">
              <w:rPr>
                <w:rFonts w:ascii="Times New Roman" w:hAnsi="Times New Roman"/>
                <w:sz w:val="28"/>
                <w:szCs w:val="28"/>
                <w:lang w:val="ru-RU"/>
              </w:rPr>
              <w:br/>
              <w:t>128</w:t>
            </w:r>
            <w:r w:rsidRPr="00C8397D">
              <w:rPr>
                <w:rFonts w:ascii="Times New Roman" w:hAnsi="Times New Roman"/>
                <w:sz w:val="28"/>
                <w:szCs w:val="28"/>
                <w:lang w:val="ru-RU"/>
              </w:rPr>
              <w:br/>
              <w:t>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2900</w:t>
            </w:r>
            <w:r w:rsidRPr="00C8397D">
              <w:rPr>
                <w:rFonts w:ascii="Times New Roman" w:hAnsi="Times New Roman"/>
                <w:sz w:val="28"/>
                <w:szCs w:val="28"/>
                <w:lang w:val="ru-RU"/>
              </w:rPr>
              <w:br/>
              <w:t>1600</w:t>
            </w:r>
            <w:r w:rsidRPr="00C8397D">
              <w:rPr>
                <w:rFonts w:ascii="Times New Roman" w:hAnsi="Times New Roman"/>
                <w:sz w:val="28"/>
                <w:szCs w:val="28"/>
                <w:lang w:val="ru-RU"/>
              </w:rPr>
              <w:br/>
              <w:t>900</w:t>
            </w:r>
            <w:r w:rsidRPr="00C8397D">
              <w:rPr>
                <w:rFonts w:ascii="Times New Roman" w:hAnsi="Times New Roman"/>
                <w:sz w:val="28"/>
                <w:szCs w:val="28"/>
                <w:lang w:val="ru-RU"/>
              </w:rPr>
              <w:br/>
              <w:t>450</w:t>
            </w:r>
            <w:r w:rsidRPr="00C8397D">
              <w:rPr>
                <w:rFonts w:ascii="Times New Roman" w:hAnsi="Times New Roman"/>
                <w:sz w:val="28"/>
                <w:szCs w:val="28"/>
                <w:lang w:val="ru-RU"/>
              </w:rPr>
              <w:br/>
              <w:t>150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«Хрещатик»</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50-120</w:t>
            </w:r>
            <w:r w:rsidRPr="00C8397D">
              <w:rPr>
                <w:rFonts w:ascii="Times New Roman" w:hAnsi="Times New Roman"/>
                <w:sz w:val="28"/>
                <w:szCs w:val="28"/>
                <w:lang w:val="ru-RU"/>
              </w:rPr>
              <w:br/>
              <w:t>40-65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108</w:t>
            </w:r>
            <w:r w:rsidRPr="00C8397D">
              <w:rPr>
                <w:rFonts w:ascii="Times New Roman" w:hAnsi="Times New Roman"/>
                <w:sz w:val="28"/>
                <w:szCs w:val="28"/>
                <w:lang w:val="ru-RU"/>
              </w:rPr>
              <w:br/>
              <w:t>72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820</w:t>
            </w:r>
            <w:r w:rsidRPr="00C8397D">
              <w:rPr>
                <w:rFonts w:ascii="Times New Roman" w:hAnsi="Times New Roman"/>
                <w:sz w:val="28"/>
                <w:szCs w:val="28"/>
                <w:lang w:val="ru-RU"/>
              </w:rPr>
              <w:br/>
              <w:t>600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«Київ»</w:t>
            </w:r>
            <w:r w:rsidRPr="00C8397D">
              <w:rPr>
                <w:rFonts w:ascii="Times New Roman" w:hAnsi="Times New Roman"/>
                <w:sz w:val="28"/>
                <w:szCs w:val="28"/>
                <w:lang w:val="ru-RU"/>
              </w:rPr>
              <w:br/>
              <w:t>Конференц-зал 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146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«Воздвиженський»</w:t>
            </w:r>
            <w:r w:rsidRPr="00C8397D">
              <w:rPr>
                <w:rFonts w:ascii="Times New Roman" w:hAnsi="Times New Roman"/>
                <w:sz w:val="28"/>
                <w:szCs w:val="28"/>
                <w:lang w:val="ru-RU"/>
              </w:rPr>
              <w:br/>
              <w:t>Конференц-зал 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70-100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98,5</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150</w:t>
            </w:r>
            <w:r w:rsidRPr="00C8397D">
              <w:rPr>
                <w:rFonts w:ascii="Times New Roman" w:hAnsi="Times New Roman"/>
                <w:sz w:val="28"/>
                <w:szCs w:val="28"/>
                <w:lang w:val="ru-RU"/>
              </w:rPr>
              <w:br/>
              <w:t>50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247</w:t>
            </w:r>
            <w:r w:rsidRPr="00C8397D">
              <w:rPr>
                <w:rFonts w:ascii="Times New Roman" w:hAnsi="Times New Roman"/>
                <w:sz w:val="28"/>
                <w:szCs w:val="28"/>
                <w:lang w:val="ru-RU"/>
              </w:rPr>
              <w:br/>
              <w:t>92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800</w:t>
            </w:r>
            <w:r w:rsidRPr="00C8397D">
              <w:rPr>
                <w:rFonts w:ascii="Times New Roman" w:hAnsi="Times New Roman"/>
                <w:sz w:val="28"/>
                <w:szCs w:val="28"/>
                <w:lang w:val="ru-RU"/>
              </w:rPr>
              <w:br/>
              <w:t>400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«Джинтама»</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100</w:t>
            </w:r>
            <w:r w:rsidRPr="00C8397D">
              <w:rPr>
                <w:rFonts w:ascii="Times New Roman" w:hAnsi="Times New Roman"/>
                <w:sz w:val="28"/>
                <w:szCs w:val="28"/>
                <w:lang w:val="ru-RU"/>
              </w:rPr>
              <w:br/>
              <w:t>30-40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300</w:t>
            </w:r>
            <w:r w:rsidRPr="00C8397D">
              <w:rPr>
                <w:rFonts w:ascii="Times New Roman" w:hAnsi="Times New Roman"/>
                <w:sz w:val="28"/>
                <w:szCs w:val="28"/>
                <w:lang w:val="ru-RU"/>
              </w:rPr>
              <w:br/>
              <w:t>70</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1000</w:t>
            </w:r>
            <w:r w:rsidRPr="00C8397D">
              <w:rPr>
                <w:rFonts w:ascii="Times New Roman" w:hAnsi="Times New Roman"/>
                <w:sz w:val="28"/>
                <w:szCs w:val="28"/>
                <w:lang w:val="ru-RU"/>
              </w:rPr>
              <w:br/>
              <w:t>-</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9</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Ramada</w:t>
            </w:r>
            <w:r w:rsidRPr="00C8397D">
              <w:rPr>
                <w:rFonts w:ascii="Times New Roman" w:hAnsi="Times New Roman"/>
                <w:sz w:val="28"/>
                <w:szCs w:val="28"/>
                <w:lang w:val="ru-RU"/>
              </w:rPr>
              <w:t xml:space="preserve"> </w:t>
            </w:r>
            <w:r w:rsidRPr="00C8397D">
              <w:rPr>
                <w:rFonts w:ascii="Times New Roman" w:hAnsi="Times New Roman"/>
                <w:sz w:val="28"/>
                <w:szCs w:val="28"/>
              </w:rPr>
              <w:t>Encore</w:t>
            </w:r>
            <w:r w:rsidRPr="00C8397D">
              <w:rPr>
                <w:rFonts w:ascii="Times New Roman" w:hAnsi="Times New Roman"/>
                <w:sz w:val="28"/>
                <w:szCs w:val="28"/>
                <w:lang w:val="ru-RU"/>
              </w:rPr>
              <w:t xml:space="preserve"> </w:t>
            </w:r>
            <w:r w:rsidRPr="00C8397D">
              <w:rPr>
                <w:rFonts w:ascii="Times New Roman" w:hAnsi="Times New Roman"/>
                <w:sz w:val="28"/>
                <w:szCs w:val="28"/>
              </w:rPr>
              <w:t>Kyiv</w:t>
            </w:r>
            <w:r w:rsidRPr="00C8397D">
              <w:rPr>
                <w:rFonts w:ascii="Times New Roman" w:hAnsi="Times New Roman"/>
                <w:sz w:val="28"/>
                <w:szCs w:val="28"/>
                <w:lang w:val="ru-RU"/>
              </w:rPr>
              <w:br/>
              <w:t>Конференц-зал «</w:t>
            </w:r>
            <w:r w:rsidRPr="00C8397D">
              <w:rPr>
                <w:rFonts w:ascii="Times New Roman" w:hAnsi="Times New Roman"/>
                <w:sz w:val="28"/>
                <w:szCs w:val="28"/>
                <w:lang w:val="uk-UA"/>
              </w:rPr>
              <w:t>Київ»</w:t>
            </w:r>
            <w:r w:rsidRPr="00C8397D">
              <w:rPr>
                <w:rFonts w:ascii="Times New Roman" w:hAnsi="Times New Roman"/>
                <w:sz w:val="28"/>
                <w:szCs w:val="28"/>
                <w:lang w:val="ru-RU"/>
              </w:rPr>
              <w:br/>
              <w:t>Конференц-зал «Москва»</w:t>
            </w:r>
            <w:r w:rsidRPr="00C8397D">
              <w:rPr>
                <w:rFonts w:ascii="Times New Roman" w:hAnsi="Times New Roman"/>
                <w:sz w:val="28"/>
                <w:szCs w:val="28"/>
                <w:lang w:val="ru-RU"/>
              </w:rPr>
              <w:br/>
              <w:t>Конференц-зал «Лондон»</w:t>
            </w:r>
            <w:r w:rsidRPr="00C8397D">
              <w:rPr>
                <w:rFonts w:ascii="Times New Roman" w:hAnsi="Times New Roman"/>
                <w:sz w:val="28"/>
                <w:szCs w:val="28"/>
                <w:lang w:val="ru-RU"/>
              </w:rPr>
              <w:br/>
              <w:t>Конференц-зал «Вільнюс»</w:t>
            </w:r>
            <w:r w:rsidRPr="00C8397D">
              <w:rPr>
                <w:rFonts w:ascii="Times New Roman" w:hAnsi="Times New Roman"/>
                <w:sz w:val="28"/>
                <w:szCs w:val="28"/>
                <w:lang w:val="ru-RU"/>
              </w:rPr>
              <w:br/>
              <w:t>Конференц-зал «Вена»</w:t>
            </w:r>
            <w:r w:rsidRPr="00C8397D">
              <w:rPr>
                <w:rFonts w:ascii="Times New Roman" w:hAnsi="Times New Roman"/>
                <w:sz w:val="28"/>
                <w:szCs w:val="28"/>
                <w:lang w:val="ru-RU"/>
              </w:rPr>
              <w:br/>
              <w:t>Конференц-зал «Сінгапур»</w:t>
            </w:r>
            <w:r w:rsidRPr="00C8397D">
              <w:rPr>
                <w:rFonts w:ascii="Times New Roman" w:hAnsi="Times New Roman"/>
                <w:sz w:val="28"/>
                <w:szCs w:val="28"/>
                <w:lang w:val="ru-RU"/>
              </w:rPr>
              <w:br/>
              <w:t>Конференц-зал «Амстердам»</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78-300</w:t>
            </w:r>
            <w:r w:rsidRPr="00C8397D">
              <w:rPr>
                <w:rFonts w:ascii="Times New Roman" w:hAnsi="Times New Roman"/>
                <w:sz w:val="28"/>
                <w:szCs w:val="28"/>
                <w:lang w:val="ru-RU"/>
              </w:rPr>
              <w:br/>
              <w:t>12-46</w:t>
            </w:r>
            <w:r w:rsidRPr="00C8397D">
              <w:rPr>
                <w:rFonts w:ascii="Times New Roman" w:hAnsi="Times New Roman"/>
                <w:sz w:val="28"/>
                <w:szCs w:val="28"/>
                <w:lang w:val="ru-RU"/>
              </w:rPr>
              <w:br/>
              <w:t>16-64</w:t>
            </w:r>
            <w:r w:rsidRPr="00C8397D">
              <w:rPr>
                <w:rFonts w:ascii="Times New Roman" w:hAnsi="Times New Roman"/>
                <w:sz w:val="28"/>
                <w:szCs w:val="28"/>
                <w:lang w:val="ru-RU"/>
              </w:rPr>
              <w:br/>
              <w:t>15-62</w:t>
            </w:r>
            <w:r w:rsidRPr="00C8397D">
              <w:rPr>
                <w:rFonts w:ascii="Times New Roman" w:hAnsi="Times New Roman"/>
                <w:sz w:val="28"/>
                <w:szCs w:val="28"/>
                <w:lang w:val="ru-RU"/>
              </w:rPr>
              <w:br/>
              <w:t>16-64</w:t>
            </w:r>
            <w:r w:rsidRPr="00C8397D">
              <w:rPr>
                <w:rFonts w:ascii="Times New Roman" w:hAnsi="Times New Roman"/>
                <w:sz w:val="28"/>
                <w:szCs w:val="28"/>
                <w:lang w:val="ru-RU"/>
              </w:rPr>
              <w:br/>
              <w:t>18-71</w:t>
            </w:r>
            <w:r w:rsidRPr="00C8397D">
              <w:rPr>
                <w:rFonts w:ascii="Times New Roman" w:hAnsi="Times New Roman"/>
                <w:sz w:val="28"/>
                <w:szCs w:val="28"/>
                <w:lang w:val="ru-RU"/>
              </w:rPr>
              <w:br/>
              <w:t>18-71</w:t>
            </w:r>
          </w:p>
        </w:tc>
        <w:tc>
          <w:tcPr>
            <w:tcW w:w="0" w:type="auto"/>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245</w:t>
            </w:r>
            <w:r w:rsidRPr="00C8397D">
              <w:rPr>
                <w:rFonts w:ascii="Times New Roman" w:hAnsi="Times New Roman"/>
                <w:sz w:val="28"/>
                <w:szCs w:val="28"/>
                <w:lang w:val="ru-RU"/>
              </w:rPr>
              <w:br/>
              <w:t>39</w:t>
            </w:r>
            <w:r w:rsidRPr="00C8397D">
              <w:rPr>
                <w:rFonts w:ascii="Times New Roman" w:hAnsi="Times New Roman"/>
                <w:sz w:val="28"/>
                <w:szCs w:val="28"/>
                <w:lang w:val="ru-RU"/>
              </w:rPr>
              <w:br/>
              <w:t>52</w:t>
            </w:r>
            <w:r w:rsidRPr="00C8397D">
              <w:rPr>
                <w:rFonts w:ascii="Times New Roman" w:hAnsi="Times New Roman"/>
                <w:sz w:val="28"/>
                <w:szCs w:val="28"/>
                <w:lang w:val="ru-RU"/>
              </w:rPr>
              <w:br/>
              <w:t>50</w:t>
            </w:r>
            <w:r w:rsidRPr="00C8397D">
              <w:rPr>
                <w:rFonts w:ascii="Times New Roman" w:hAnsi="Times New Roman"/>
                <w:sz w:val="28"/>
                <w:szCs w:val="28"/>
                <w:lang w:val="ru-RU"/>
              </w:rPr>
              <w:br/>
              <w:t>52</w:t>
            </w:r>
            <w:r w:rsidRPr="00C8397D">
              <w:rPr>
                <w:rFonts w:ascii="Times New Roman" w:hAnsi="Times New Roman"/>
                <w:sz w:val="28"/>
                <w:szCs w:val="28"/>
                <w:lang w:val="ru-RU"/>
              </w:rPr>
              <w:br/>
              <w:t>60</w:t>
            </w:r>
            <w:r w:rsidRPr="00C8397D">
              <w:rPr>
                <w:rFonts w:ascii="Times New Roman" w:hAnsi="Times New Roman"/>
                <w:sz w:val="28"/>
                <w:szCs w:val="28"/>
                <w:lang w:val="ru-RU"/>
              </w:rPr>
              <w:br/>
              <w:t>58</w:t>
            </w:r>
          </w:p>
        </w:tc>
        <w:tc>
          <w:tcPr>
            <w:tcW w:w="0" w:type="auto"/>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br/>
              <w:t>EUR 280</w:t>
            </w:r>
            <w:r w:rsidRPr="00C8397D">
              <w:rPr>
                <w:rFonts w:ascii="Times New Roman" w:hAnsi="Times New Roman"/>
                <w:sz w:val="28"/>
                <w:szCs w:val="28"/>
              </w:rPr>
              <w:br/>
              <w:t>EUR 70</w:t>
            </w:r>
            <w:r w:rsidRPr="00C8397D">
              <w:rPr>
                <w:rFonts w:ascii="Times New Roman" w:hAnsi="Times New Roman"/>
                <w:sz w:val="28"/>
                <w:szCs w:val="28"/>
              </w:rPr>
              <w:br/>
              <w:t>EUR 90</w:t>
            </w:r>
            <w:r w:rsidRPr="00C8397D">
              <w:rPr>
                <w:rFonts w:ascii="Times New Roman" w:hAnsi="Times New Roman"/>
                <w:sz w:val="28"/>
                <w:szCs w:val="28"/>
              </w:rPr>
              <w:br/>
              <w:t>EUR 90</w:t>
            </w:r>
            <w:r w:rsidRPr="00C8397D">
              <w:rPr>
                <w:rFonts w:ascii="Times New Roman" w:hAnsi="Times New Roman"/>
                <w:sz w:val="28"/>
                <w:szCs w:val="28"/>
              </w:rPr>
              <w:br/>
              <w:t>EUR 80</w:t>
            </w:r>
            <w:r w:rsidRPr="00C8397D">
              <w:rPr>
                <w:rFonts w:ascii="Times New Roman" w:hAnsi="Times New Roman"/>
                <w:sz w:val="28"/>
                <w:szCs w:val="28"/>
              </w:rPr>
              <w:br/>
              <w:t>EUR 100</w:t>
            </w:r>
            <w:r w:rsidRPr="00C8397D">
              <w:rPr>
                <w:rFonts w:ascii="Times New Roman" w:hAnsi="Times New Roman"/>
                <w:sz w:val="28"/>
                <w:szCs w:val="28"/>
              </w:rPr>
              <w:br/>
              <w:t>EUR 100</w:t>
            </w:r>
          </w:p>
        </w:tc>
      </w:tr>
    </w:tbl>
    <w:p w:rsidR="00192005" w:rsidRPr="00C8397D" w:rsidRDefault="00192005" w:rsidP="0019200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економ-класу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Ці готелі зазвичай знаходяться у нецентральних районах Києва, серед них готелі «Либідь», «Експрес», «Братислава», «Дружба», «Кооператор», «Салют», «Спорт», «Мир», «Турист», «Козацький», «Санкт-Петербург» та ін. Готелі цієї категорії значно різняться за інфраструктурою, сервісом та якістю.</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Єдиним готелем економ-класу під управлінням міжнародної готельної мережі є готель </w:t>
      </w:r>
      <w:r w:rsidRPr="00C8397D">
        <w:rPr>
          <w:rFonts w:ascii="Times New Roman" w:hAnsi="Times New Roman"/>
          <w:sz w:val="28"/>
          <w:szCs w:val="28"/>
        </w:rPr>
        <w:t>Ibis</w:t>
      </w:r>
      <w:r w:rsidRPr="00C8397D">
        <w:rPr>
          <w:rFonts w:ascii="Times New Roman" w:hAnsi="Times New Roman"/>
          <w:sz w:val="28"/>
          <w:szCs w:val="28"/>
          <w:lang w:val="ru-RU"/>
        </w:rPr>
        <w:t xml:space="preserve">, відкритий компанією </w:t>
      </w:r>
      <w:r w:rsidRPr="00C8397D">
        <w:rPr>
          <w:rFonts w:ascii="Times New Roman" w:hAnsi="Times New Roman"/>
          <w:sz w:val="28"/>
          <w:szCs w:val="28"/>
        </w:rPr>
        <w:t>Accor</w:t>
      </w:r>
      <w:r w:rsidRPr="00C8397D">
        <w:rPr>
          <w:rFonts w:ascii="Times New Roman" w:hAnsi="Times New Roman"/>
          <w:sz w:val="28"/>
          <w:szCs w:val="28"/>
          <w:lang w:val="ru-RU"/>
        </w:rPr>
        <w:t xml:space="preserve"> </w:t>
      </w:r>
      <w:r w:rsidRPr="00C8397D">
        <w:rPr>
          <w:rFonts w:ascii="Times New Roman" w:hAnsi="Times New Roman"/>
          <w:sz w:val="28"/>
          <w:szCs w:val="28"/>
        </w:rPr>
        <w:t>Group</w:t>
      </w:r>
      <w:r w:rsidRPr="00C8397D">
        <w:rPr>
          <w:rFonts w:ascii="Times New Roman" w:hAnsi="Times New Roman"/>
          <w:sz w:val="28"/>
          <w:szCs w:val="28"/>
          <w:lang w:val="ru-RU"/>
        </w:rPr>
        <w:t xml:space="preserve">, і розташований у центральній частині міста, на бульварі Тараса Шевченка. Готель </w:t>
      </w:r>
      <w:r w:rsidRPr="00C8397D">
        <w:rPr>
          <w:rFonts w:ascii="Times New Roman" w:hAnsi="Times New Roman"/>
          <w:sz w:val="28"/>
          <w:szCs w:val="28"/>
        </w:rPr>
        <w:t>Ibis</w:t>
      </w:r>
      <w:r w:rsidRPr="00C8397D">
        <w:rPr>
          <w:rFonts w:ascii="Times New Roman" w:hAnsi="Times New Roman"/>
          <w:sz w:val="28"/>
          <w:szCs w:val="28"/>
          <w:lang w:val="ru-RU"/>
        </w:rPr>
        <w:t xml:space="preserve"> не містить конференц-приміщень, лише кімнату для переговорів площею </w:t>
      </w:r>
      <w:smartTag w:uri="urn:schemas-microsoft-com:office:smarttags" w:element="metricconverter">
        <w:smartTagPr>
          <w:attr w:name="ProductID" w:val="65 кв. м"/>
        </w:smartTagPr>
        <w:r w:rsidRPr="00C8397D">
          <w:rPr>
            <w:rFonts w:ascii="Times New Roman" w:hAnsi="Times New Roman"/>
            <w:sz w:val="28"/>
            <w:szCs w:val="28"/>
            <w:lang w:val="ru-RU"/>
          </w:rPr>
          <w:t>65 кв. м</w:t>
        </w:r>
      </w:smartTag>
      <w:r w:rsidRPr="00C8397D">
        <w:rPr>
          <w:rFonts w:ascii="Times New Roman" w:hAnsi="Times New Roman"/>
          <w:sz w:val="28"/>
          <w:szCs w:val="28"/>
          <w:lang w:val="ru-RU"/>
        </w:rPr>
        <w:t xml:space="preserve"> на 12 персон вартістю 6 000 грн. за місяць або 800 грн. за день.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Одним із значних недоліків цієї категорії готелів є загальна якість приміщень, які є часто застарілими та потребують ремонту. Крім того, якість сервісу та управління у цих готелях є зазвичай набагато нижчою, ніж у сучасних готелях.</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 економ-класу у Києві можуть надавати значні знижки на оренду конференц-приміщень своїм клієнтам. Вартість оренди у них є набагато нижчою, ніж у готелях середньої цінової категорії і складає від $30 до $100 за годину, а вартість кава-перерви є близько $4-8 на особу, обіду - $10-18, вечері - $13-25 на особу.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lastRenderedPageBreak/>
        <w:t>Таблиця 4.3.3</w:t>
      </w:r>
      <w:r w:rsidRPr="00C8397D">
        <w:rPr>
          <w:rFonts w:ascii="Times New Roman" w:hAnsi="Times New Roman"/>
          <w:sz w:val="28"/>
          <w:szCs w:val="28"/>
          <w:lang w:val="ru-RU"/>
        </w:rPr>
        <w:t>.3</w:t>
      </w:r>
      <w:r w:rsidRPr="00C8397D">
        <w:rPr>
          <w:rFonts w:ascii="Times New Roman" w:hAnsi="Times New Roman"/>
          <w:sz w:val="28"/>
          <w:szCs w:val="28"/>
          <w:lang w:val="uk-UA"/>
        </w:rPr>
        <w:t xml:space="preserve"> - </w:t>
      </w:r>
      <w:r w:rsidRPr="00C8397D">
        <w:rPr>
          <w:rFonts w:ascii="Times New Roman" w:hAnsi="Times New Roman"/>
          <w:sz w:val="28"/>
          <w:szCs w:val="28"/>
          <w:lang w:val="ru-RU"/>
        </w:rPr>
        <w:t>Конференц-приміщення у існуючих готелях економ-класу у Києві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2569"/>
        <w:gridCol w:w="2027"/>
        <w:gridCol w:w="1715"/>
        <w:gridCol w:w="2309"/>
      </w:tblGrid>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п/п</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1059"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Місткість, чол.</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Площа, кв.м</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Ціна, грн./годину</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«Братислава»</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250</w:t>
            </w:r>
            <w:r w:rsidRPr="00C8397D">
              <w:rPr>
                <w:rFonts w:ascii="Times New Roman" w:hAnsi="Times New Roman"/>
                <w:sz w:val="28"/>
                <w:szCs w:val="28"/>
                <w:lang w:val="ru-RU"/>
              </w:rPr>
              <w:br/>
              <w:t>110</w:t>
            </w:r>
            <w:r w:rsidRPr="00C8397D">
              <w:rPr>
                <w:rFonts w:ascii="Times New Roman" w:hAnsi="Times New Roman"/>
                <w:sz w:val="28"/>
                <w:szCs w:val="28"/>
                <w:lang w:val="ru-RU"/>
              </w:rPr>
              <w:br/>
              <w:t>80</w:t>
            </w:r>
            <w:r w:rsidRPr="00C8397D">
              <w:rPr>
                <w:rFonts w:ascii="Times New Roman" w:hAnsi="Times New Roman"/>
                <w:sz w:val="28"/>
                <w:szCs w:val="28"/>
                <w:lang w:val="ru-RU"/>
              </w:rPr>
              <w:br/>
              <w:t>35</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350</w:t>
            </w:r>
            <w:r w:rsidRPr="00C8397D">
              <w:rPr>
                <w:rFonts w:ascii="Times New Roman" w:hAnsi="Times New Roman"/>
                <w:sz w:val="28"/>
                <w:szCs w:val="28"/>
                <w:lang w:val="ru-RU"/>
              </w:rPr>
              <w:br/>
              <w:t>160</w:t>
            </w:r>
            <w:r w:rsidRPr="00C8397D">
              <w:rPr>
                <w:rFonts w:ascii="Times New Roman" w:hAnsi="Times New Roman"/>
                <w:sz w:val="28"/>
                <w:szCs w:val="28"/>
                <w:lang w:val="ru-RU"/>
              </w:rPr>
              <w:br/>
              <w:t>127</w:t>
            </w:r>
            <w:r w:rsidRPr="00C8397D">
              <w:rPr>
                <w:rFonts w:ascii="Times New Roman" w:hAnsi="Times New Roman"/>
                <w:sz w:val="28"/>
                <w:szCs w:val="28"/>
                <w:lang w:val="ru-RU"/>
              </w:rPr>
              <w:br/>
              <w:t>68</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325</w:t>
            </w:r>
            <w:r w:rsidRPr="00C8397D">
              <w:rPr>
                <w:rFonts w:ascii="Times New Roman" w:hAnsi="Times New Roman"/>
                <w:sz w:val="28"/>
                <w:szCs w:val="28"/>
                <w:lang w:val="ru-RU"/>
              </w:rPr>
              <w:br/>
              <w:t>250</w:t>
            </w:r>
            <w:r w:rsidRPr="00C8397D">
              <w:rPr>
                <w:rFonts w:ascii="Times New Roman" w:hAnsi="Times New Roman"/>
                <w:sz w:val="28"/>
                <w:szCs w:val="28"/>
                <w:lang w:val="ru-RU"/>
              </w:rPr>
              <w:br/>
              <w:t>300</w:t>
            </w:r>
            <w:r w:rsidRPr="00C8397D">
              <w:rPr>
                <w:rFonts w:ascii="Times New Roman" w:hAnsi="Times New Roman"/>
                <w:sz w:val="28"/>
                <w:szCs w:val="28"/>
                <w:lang w:val="ru-RU"/>
              </w:rPr>
              <w:br/>
              <w:t>220</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«Дружба»</w:t>
            </w:r>
            <w:r w:rsidRPr="00C8397D">
              <w:rPr>
                <w:rFonts w:ascii="Times New Roman" w:hAnsi="Times New Roman"/>
                <w:sz w:val="28"/>
                <w:szCs w:val="28"/>
                <w:lang w:val="ru-RU"/>
              </w:rPr>
              <w:br/>
              <w:t>Конференц-зал 1</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25-30</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240</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«Либідь»</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120</w:t>
            </w:r>
            <w:r w:rsidRPr="00C8397D">
              <w:rPr>
                <w:rFonts w:ascii="Times New Roman" w:hAnsi="Times New Roman"/>
                <w:sz w:val="28"/>
                <w:szCs w:val="28"/>
                <w:lang w:val="ru-RU"/>
              </w:rPr>
              <w:br/>
              <w:t>20</w:t>
            </w:r>
            <w:r w:rsidRPr="00C8397D">
              <w:rPr>
                <w:rFonts w:ascii="Times New Roman" w:hAnsi="Times New Roman"/>
                <w:sz w:val="28"/>
                <w:szCs w:val="28"/>
                <w:lang w:val="ru-RU"/>
              </w:rPr>
              <w:br/>
              <w:t>20</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200</w:t>
            </w:r>
            <w:r w:rsidRPr="00C8397D">
              <w:rPr>
                <w:rFonts w:ascii="Times New Roman" w:hAnsi="Times New Roman"/>
                <w:sz w:val="28"/>
                <w:szCs w:val="28"/>
                <w:lang w:val="ru-RU"/>
              </w:rPr>
              <w:br/>
              <w:t>30</w:t>
            </w:r>
            <w:r w:rsidRPr="00C8397D">
              <w:rPr>
                <w:rFonts w:ascii="Times New Roman" w:hAnsi="Times New Roman"/>
                <w:sz w:val="28"/>
                <w:szCs w:val="28"/>
                <w:lang w:val="ru-RU"/>
              </w:rPr>
              <w:br/>
              <w:t>26</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450</w:t>
            </w:r>
            <w:r w:rsidRPr="00C8397D">
              <w:rPr>
                <w:rFonts w:ascii="Times New Roman" w:hAnsi="Times New Roman"/>
                <w:sz w:val="28"/>
                <w:szCs w:val="28"/>
                <w:lang w:val="ru-RU"/>
              </w:rPr>
              <w:br/>
              <w:t>250</w:t>
            </w:r>
            <w:r w:rsidRPr="00C8397D">
              <w:rPr>
                <w:rFonts w:ascii="Times New Roman" w:hAnsi="Times New Roman"/>
                <w:sz w:val="28"/>
                <w:szCs w:val="28"/>
                <w:lang w:val="ru-RU"/>
              </w:rPr>
              <w:br/>
              <w:t>270</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«Мир»</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50-180</w:t>
            </w:r>
            <w:r w:rsidRPr="00C8397D">
              <w:rPr>
                <w:rFonts w:ascii="Times New Roman" w:hAnsi="Times New Roman"/>
                <w:sz w:val="28"/>
                <w:szCs w:val="28"/>
                <w:lang w:val="ru-RU"/>
              </w:rPr>
              <w:br/>
              <w:t>30-80</w:t>
            </w:r>
            <w:r w:rsidRPr="00C8397D">
              <w:rPr>
                <w:rFonts w:ascii="Times New Roman" w:hAnsi="Times New Roman"/>
                <w:sz w:val="28"/>
                <w:szCs w:val="28"/>
                <w:lang w:val="ru-RU"/>
              </w:rPr>
              <w:br/>
              <w:t>20-25</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150</w:t>
            </w:r>
            <w:r w:rsidRPr="00C8397D">
              <w:rPr>
                <w:rFonts w:ascii="Times New Roman" w:hAnsi="Times New Roman"/>
                <w:sz w:val="28"/>
                <w:szCs w:val="28"/>
                <w:lang w:val="ru-RU"/>
              </w:rPr>
              <w:br/>
              <w:t>59</w:t>
            </w:r>
            <w:r w:rsidRPr="00C8397D">
              <w:rPr>
                <w:rFonts w:ascii="Times New Roman" w:hAnsi="Times New Roman"/>
                <w:sz w:val="28"/>
                <w:szCs w:val="28"/>
                <w:lang w:val="ru-RU"/>
              </w:rPr>
              <w:br/>
              <w:t>31</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456</w:t>
            </w:r>
            <w:r w:rsidRPr="00C8397D">
              <w:rPr>
                <w:rFonts w:ascii="Times New Roman" w:hAnsi="Times New Roman"/>
                <w:sz w:val="28"/>
                <w:szCs w:val="28"/>
                <w:lang w:val="ru-RU"/>
              </w:rPr>
              <w:br/>
              <w:t>312</w:t>
            </w:r>
            <w:r w:rsidRPr="00C8397D">
              <w:rPr>
                <w:rFonts w:ascii="Times New Roman" w:hAnsi="Times New Roman"/>
                <w:sz w:val="28"/>
                <w:szCs w:val="28"/>
                <w:lang w:val="ru-RU"/>
              </w:rPr>
              <w:br/>
              <w:t>132</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«Санкт-Петербург»</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w:t>
            </w:r>
            <w:r w:rsidRPr="00C8397D">
              <w:rPr>
                <w:rFonts w:ascii="Times New Roman" w:hAnsi="Times New Roman"/>
                <w:sz w:val="28"/>
                <w:szCs w:val="28"/>
                <w:lang w:val="ru-RU"/>
              </w:rPr>
              <w:br/>
              <w:t>40</w:t>
            </w:r>
            <w:r w:rsidRPr="00C8397D">
              <w:rPr>
                <w:rFonts w:ascii="Times New Roman" w:hAnsi="Times New Roman"/>
                <w:sz w:val="28"/>
                <w:szCs w:val="28"/>
                <w:lang w:val="ru-RU"/>
              </w:rPr>
              <w:br/>
              <w:t>30</w:t>
            </w:r>
            <w:r w:rsidRPr="00C8397D">
              <w:rPr>
                <w:rFonts w:ascii="Times New Roman" w:hAnsi="Times New Roman"/>
                <w:sz w:val="28"/>
                <w:szCs w:val="28"/>
                <w:lang w:val="ru-RU"/>
              </w:rPr>
              <w:br/>
              <w:t>25</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64</w:t>
            </w:r>
            <w:r w:rsidRPr="00C8397D">
              <w:rPr>
                <w:rFonts w:ascii="Times New Roman" w:hAnsi="Times New Roman"/>
                <w:sz w:val="28"/>
                <w:szCs w:val="28"/>
                <w:lang w:val="ru-RU"/>
              </w:rPr>
              <w:br/>
              <w:t>44</w:t>
            </w:r>
            <w:r w:rsidRPr="00C8397D">
              <w:rPr>
                <w:rFonts w:ascii="Times New Roman" w:hAnsi="Times New Roman"/>
                <w:sz w:val="28"/>
                <w:szCs w:val="28"/>
                <w:lang w:val="ru-RU"/>
              </w:rPr>
              <w:br/>
              <w:t>40</w:t>
            </w:r>
            <w:r w:rsidRPr="00C8397D">
              <w:rPr>
                <w:rFonts w:ascii="Times New Roman" w:hAnsi="Times New Roman"/>
                <w:sz w:val="28"/>
                <w:szCs w:val="28"/>
                <w:lang w:val="ru-RU"/>
              </w:rPr>
              <w:br/>
              <w:t>34</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3000 на день</w:t>
            </w:r>
            <w:r w:rsidRPr="00C8397D">
              <w:rPr>
                <w:rFonts w:ascii="Times New Roman" w:hAnsi="Times New Roman"/>
                <w:sz w:val="28"/>
                <w:szCs w:val="28"/>
                <w:lang w:val="ru-RU"/>
              </w:rPr>
              <w:br/>
              <w:t>2000 на день</w:t>
            </w:r>
            <w:r w:rsidRPr="00C8397D">
              <w:rPr>
                <w:rFonts w:ascii="Times New Roman" w:hAnsi="Times New Roman"/>
                <w:sz w:val="28"/>
                <w:szCs w:val="28"/>
                <w:lang w:val="ru-RU"/>
              </w:rPr>
              <w:br/>
              <w:t>2000 на день</w:t>
            </w:r>
            <w:r w:rsidRPr="00C8397D">
              <w:rPr>
                <w:rFonts w:ascii="Times New Roman" w:hAnsi="Times New Roman"/>
                <w:sz w:val="28"/>
                <w:szCs w:val="28"/>
                <w:lang w:val="ru-RU"/>
              </w:rPr>
              <w:br/>
              <w:t>1800 на день</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«Турист»</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296</w:t>
            </w:r>
            <w:r w:rsidRPr="00C8397D">
              <w:rPr>
                <w:rFonts w:ascii="Times New Roman" w:hAnsi="Times New Roman"/>
                <w:sz w:val="28"/>
                <w:szCs w:val="28"/>
                <w:lang w:val="ru-RU"/>
              </w:rPr>
              <w:br/>
              <w:t>80</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450</w:t>
            </w:r>
            <w:r w:rsidRPr="00C8397D">
              <w:rPr>
                <w:rFonts w:ascii="Times New Roman" w:hAnsi="Times New Roman"/>
                <w:sz w:val="28"/>
                <w:szCs w:val="28"/>
                <w:lang w:val="ru-RU"/>
              </w:rPr>
              <w:br/>
              <w:t>90</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500</w:t>
            </w:r>
            <w:r w:rsidRPr="00C8397D">
              <w:rPr>
                <w:rFonts w:ascii="Times New Roman" w:hAnsi="Times New Roman"/>
                <w:sz w:val="28"/>
                <w:szCs w:val="28"/>
                <w:lang w:val="ru-RU"/>
              </w:rPr>
              <w:br/>
              <w:t>350</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«Салют»</w:t>
            </w:r>
            <w:r w:rsidRPr="00C8397D">
              <w:rPr>
                <w:rFonts w:ascii="Times New Roman" w:hAnsi="Times New Roman"/>
                <w:sz w:val="28"/>
                <w:szCs w:val="28"/>
                <w:lang w:val="ru-RU"/>
              </w:rPr>
              <w:br/>
              <w:t>Конференц-зал 1</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60</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«Козацький»</w:t>
            </w:r>
            <w:r w:rsidRPr="00C8397D">
              <w:rPr>
                <w:rFonts w:ascii="Times New Roman" w:hAnsi="Times New Roman"/>
                <w:sz w:val="28"/>
                <w:szCs w:val="28"/>
                <w:lang w:val="ru-RU"/>
              </w:rPr>
              <w:br/>
            </w:r>
            <w:r w:rsidRPr="00C8397D">
              <w:rPr>
                <w:rFonts w:ascii="Times New Roman" w:hAnsi="Times New Roman"/>
                <w:sz w:val="28"/>
                <w:szCs w:val="28"/>
                <w:lang w:val="ru-RU"/>
              </w:rPr>
              <w:lastRenderedPageBreak/>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r>
            <w:r w:rsidRPr="00C8397D">
              <w:rPr>
                <w:rFonts w:ascii="Times New Roman" w:hAnsi="Times New Roman"/>
                <w:sz w:val="28"/>
                <w:szCs w:val="28"/>
                <w:lang w:val="ru-RU"/>
              </w:rPr>
              <w:lastRenderedPageBreak/>
              <w:t>270</w:t>
            </w:r>
            <w:r w:rsidRPr="00C8397D">
              <w:rPr>
                <w:rFonts w:ascii="Times New Roman" w:hAnsi="Times New Roman"/>
                <w:sz w:val="28"/>
                <w:szCs w:val="28"/>
                <w:lang w:val="ru-RU"/>
              </w:rPr>
              <w:br/>
              <w:t>15-50</w:t>
            </w:r>
            <w:r w:rsidRPr="00C8397D">
              <w:rPr>
                <w:rFonts w:ascii="Times New Roman" w:hAnsi="Times New Roman"/>
                <w:sz w:val="28"/>
                <w:szCs w:val="28"/>
                <w:lang w:val="ru-RU"/>
              </w:rPr>
              <w:br/>
              <w:t>10-50</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r>
            <w:r w:rsidRPr="00C8397D">
              <w:rPr>
                <w:rFonts w:ascii="Times New Roman" w:hAnsi="Times New Roman"/>
                <w:sz w:val="28"/>
                <w:szCs w:val="28"/>
                <w:lang w:val="ru-RU"/>
              </w:rPr>
              <w:lastRenderedPageBreak/>
              <w:t>346</w:t>
            </w:r>
            <w:r w:rsidRPr="00C8397D">
              <w:rPr>
                <w:rFonts w:ascii="Times New Roman" w:hAnsi="Times New Roman"/>
                <w:sz w:val="28"/>
                <w:szCs w:val="28"/>
                <w:lang w:val="ru-RU"/>
              </w:rPr>
              <w:br/>
              <w:t>42</w:t>
            </w:r>
            <w:r w:rsidRPr="00C8397D">
              <w:rPr>
                <w:rFonts w:ascii="Times New Roman" w:hAnsi="Times New Roman"/>
                <w:sz w:val="28"/>
                <w:szCs w:val="28"/>
                <w:lang w:val="ru-RU"/>
              </w:rPr>
              <w:br/>
              <w:t>39</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r>
            <w:r w:rsidRPr="00C8397D">
              <w:rPr>
                <w:rFonts w:ascii="Times New Roman" w:hAnsi="Times New Roman"/>
                <w:sz w:val="28"/>
                <w:szCs w:val="28"/>
                <w:lang w:val="ru-RU"/>
              </w:rPr>
              <w:lastRenderedPageBreak/>
              <w:t>500</w:t>
            </w:r>
            <w:r w:rsidRPr="00C8397D">
              <w:rPr>
                <w:rFonts w:ascii="Times New Roman" w:hAnsi="Times New Roman"/>
                <w:sz w:val="28"/>
                <w:szCs w:val="28"/>
                <w:lang w:val="ru-RU"/>
              </w:rPr>
              <w:br/>
              <w:t>350</w:t>
            </w:r>
            <w:r w:rsidRPr="00C8397D">
              <w:rPr>
                <w:rFonts w:ascii="Times New Roman" w:hAnsi="Times New Roman"/>
                <w:sz w:val="28"/>
                <w:szCs w:val="28"/>
                <w:lang w:val="ru-RU"/>
              </w:rPr>
              <w:br/>
              <w:t>300</w:t>
            </w:r>
          </w:p>
        </w:tc>
      </w:tr>
      <w:tr w:rsidR="00192005" w:rsidRPr="00C8397D" w:rsidTr="00BA5963">
        <w:tc>
          <w:tcPr>
            <w:tcW w:w="497"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9</w:t>
            </w:r>
          </w:p>
        </w:tc>
        <w:tc>
          <w:tcPr>
            <w:tcW w:w="1342"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«Експрес»</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1059"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200</w:t>
            </w:r>
            <w:r w:rsidRPr="00C8397D">
              <w:rPr>
                <w:rFonts w:ascii="Times New Roman" w:hAnsi="Times New Roman"/>
                <w:sz w:val="28"/>
                <w:szCs w:val="28"/>
                <w:lang w:val="ru-RU"/>
              </w:rPr>
              <w:br/>
              <w:t>30</w:t>
            </w:r>
          </w:p>
        </w:tc>
        <w:tc>
          <w:tcPr>
            <w:tcW w:w="89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r w:rsidRPr="00C8397D">
              <w:rPr>
                <w:rFonts w:ascii="Times New Roman" w:hAnsi="Times New Roman"/>
                <w:sz w:val="28"/>
                <w:szCs w:val="28"/>
                <w:lang w:val="ru-RU"/>
              </w:rPr>
              <w:br/>
              <w:t>-</w:t>
            </w:r>
          </w:p>
        </w:tc>
        <w:tc>
          <w:tcPr>
            <w:tcW w:w="1206" w:type="pct"/>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700</w:t>
            </w:r>
            <w:r w:rsidRPr="00C8397D">
              <w:rPr>
                <w:rFonts w:ascii="Times New Roman" w:hAnsi="Times New Roman"/>
                <w:sz w:val="28"/>
                <w:szCs w:val="28"/>
                <w:lang w:val="ru-RU"/>
              </w:rPr>
              <w:br/>
              <w:t>300</w:t>
            </w:r>
          </w:p>
        </w:tc>
      </w:tr>
    </w:tbl>
    <w:p w:rsidR="00192005" w:rsidRPr="00C8397D" w:rsidRDefault="00192005" w:rsidP="0019200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Заміські готелі та центри відпочинку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Третім типом готелів, які користуються популярністю серед організаторів конференцій, є заміські готелі центри відпочинку та санаторії поблизу Києва. У цих готелях окрім конференцій компанії-організатори можуть також проводити командо-утворюючі заходи, а також заходи на свіжому повітрі (наприклад, футбол, волейбол, пейнтбол, рибна ловля, барбекю, верхова їзда, теніс та ін.)</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Найбільш популярні заміські готелі та центри відпочинку біля Києва знаходяться у Пущі-Водиці, Конча-Заспі, Ворзелі, на Броварському проспекті, на трасі Київ-Житомир, у Капітанівці та Ірпені.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Типовими прикладами заміських готелів та центрів відпочинку у передмісті Києва, що надають конференц-послуги є «Княжий двір», «Адмірал-Клуб», готель «Конференц Хол Ірпінь», «Джерело», «Візит», «Ярина», «Зазим‘я», «Конча-Заспа», «Дюбек», «Пролісок», «Берегиня» та «Пуща-Озерна».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4.3.3.4</w:t>
      </w:r>
      <w:r w:rsidRPr="00C8397D">
        <w:rPr>
          <w:rFonts w:ascii="Times New Roman" w:hAnsi="Times New Roman"/>
          <w:sz w:val="28"/>
          <w:szCs w:val="28"/>
          <w:lang w:val="ru-RU"/>
        </w:rPr>
        <w:t xml:space="preserve"> - Конференц-приміщення у існуючих заміських готелях та центрах відпочинку у Києві та його Передмісті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Місце знаходження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Місткість, чол.</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«Берегиня»</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Пуща-Водиця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«Джерело»</w:t>
            </w:r>
          </w:p>
        </w:tc>
        <w:tc>
          <w:tcPr>
            <w:tcW w:w="3190"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30-40; 130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«Дюбек»</w:t>
            </w:r>
          </w:p>
        </w:tc>
        <w:tc>
          <w:tcPr>
            <w:tcW w:w="3190"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40; 80; 80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«Маяк»</w:t>
            </w:r>
          </w:p>
        </w:tc>
        <w:tc>
          <w:tcPr>
            <w:tcW w:w="3190"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«Славутич»</w:t>
            </w:r>
          </w:p>
        </w:tc>
        <w:tc>
          <w:tcPr>
            <w:tcW w:w="3190"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 40; 30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«Пуща-Озерна»</w:t>
            </w:r>
          </w:p>
        </w:tc>
        <w:tc>
          <w:tcPr>
            <w:tcW w:w="3190"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400; 60; 80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«Ярина»</w:t>
            </w:r>
          </w:p>
        </w:tc>
        <w:tc>
          <w:tcPr>
            <w:tcW w:w="3190"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Конча-Заспа</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«Візит»</w:t>
            </w:r>
          </w:p>
        </w:tc>
        <w:tc>
          <w:tcPr>
            <w:tcW w:w="3190"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uk-UA"/>
              </w:rPr>
              <w:t>Конча-Заспа</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25-30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«Конча-Заспа»</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Конча-Заспа</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232; 60; 30; 16</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«Жовтень»</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Конча-Заспа</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«Пролісок»</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Конча-Заспа</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60; 60; 30; 30; 25; 25</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«Зазим</w:t>
            </w:r>
            <w:r w:rsidRPr="00C8397D">
              <w:rPr>
                <w:rFonts w:ascii="Times New Roman" w:hAnsi="Times New Roman"/>
                <w:sz w:val="28"/>
                <w:szCs w:val="28"/>
              </w:rPr>
              <w:t>’</w:t>
            </w:r>
            <w:r w:rsidRPr="00C8397D">
              <w:rPr>
                <w:rFonts w:ascii="Times New Roman" w:hAnsi="Times New Roman"/>
                <w:sz w:val="28"/>
                <w:szCs w:val="28"/>
                <w:lang w:val="ru-RU"/>
              </w:rPr>
              <w:t>я»</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Броварський проспект</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 30; 30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«Конференц Хол Ірпінь»</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Ірпінь</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420; 150; 90; 60; 50; 30; 20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«Адмірал-Клуб»</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Ірпінь</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 40; 30</w:t>
            </w:r>
          </w:p>
        </w:tc>
      </w:tr>
      <w:tr w:rsidR="00192005" w:rsidRPr="00C8397D" w:rsidTr="00BA5963">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«Княжий Двір»</w:t>
            </w:r>
          </w:p>
        </w:tc>
        <w:tc>
          <w:tcPr>
            <w:tcW w:w="3190"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Княжичі</w:t>
            </w:r>
          </w:p>
        </w:tc>
        <w:tc>
          <w:tcPr>
            <w:tcW w:w="3191"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w:t>
            </w:r>
          </w:p>
        </w:tc>
      </w:tr>
    </w:tbl>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Вартість оренди конференц-приміщень у типовому заміському готелі поблизу Києва є близько $100-140 за годину, а вартість проживання різниться від $70 за $200 за одномісний/двомісний номер. А вартість оренди конференц-приміщень та проживання у деяких центрах відпочинку радянських часів поблизу Києва є відповідно $70-350 за день та $50-60 за номер.</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Основними недоліками конференц-приміщень у подібних готелях порівняно з готелями Києва є менша місткість, а також певна віддаленість від центру Києва, що може розчарувати деяких гостей, що бажають ознайомитися з культурною та історичною спадщиною міста.</w:t>
      </w:r>
    </w:p>
    <w:p w:rsidR="00192005" w:rsidRPr="00C8397D" w:rsidRDefault="00192005" w:rsidP="0019200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Виставкові центри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Києві конференційні приміщення у виставкових центрах здебільшого використовуються для великих презентацій типу виставок. Такі приміщення є звичайно більшими та дешевшими, але гірше обладнаними та менш комфортними, ніж конференційні приміщення у готелях.</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Двома основними виставковими центрами з конференц-приміщеннями у Києві є Міжнародний виставковий центр (МВЦ) біля станції метро «Лівобережна» на лівому березі Дніпра та «Київ Експо Плаза» біля метро «Нивки». Національний комплекс «Експоцентр України» (ВДНХ) та </w:t>
      </w:r>
      <w:r w:rsidRPr="00C8397D">
        <w:rPr>
          <w:rFonts w:ascii="Times New Roman" w:hAnsi="Times New Roman"/>
          <w:sz w:val="28"/>
          <w:szCs w:val="28"/>
          <w:lang w:val="ru-RU"/>
        </w:rPr>
        <w:lastRenderedPageBreak/>
        <w:t>виставковий центр «АККО Інтернешнл» також пропонують деякі приміщення для проведення конференцій.</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Міжнародний Виставковий Центр (МВЦ)</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Міжнародний виставковий центр (МВЦ) (www.iec-expo.com.ua) є найбільшим виставковим центром України, і складається з 3-х павільйонів загальною площею близько </w:t>
      </w:r>
      <w:smartTag w:uri="urn:schemas-microsoft-com:office:smarttags" w:element="metricconverter">
        <w:smartTagPr>
          <w:attr w:name="ProductID" w:val="58 000 кв. м"/>
        </w:smartTagPr>
        <w:r w:rsidRPr="00C8397D">
          <w:rPr>
            <w:rFonts w:ascii="Times New Roman" w:hAnsi="Times New Roman"/>
            <w:sz w:val="28"/>
            <w:szCs w:val="28"/>
            <w:lang w:val="ru-RU"/>
          </w:rPr>
          <w:t>58 000 кв. м</w:t>
        </w:r>
      </w:smartTag>
      <w:r w:rsidRPr="00C8397D">
        <w:rPr>
          <w:rFonts w:ascii="Times New Roman" w:hAnsi="Times New Roman"/>
          <w:sz w:val="28"/>
          <w:szCs w:val="28"/>
          <w:lang w:val="ru-RU"/>
        </w:rPr>
        <w:t xml:space="preserve">, із яких виставкова зона займає приблизно </w:t>
      </w:r>
      <w:smartTag w:uri="urn:schemas-microsoft-com:office:smarttags" w:element="metricconverter">
        <w:smartTagPr>
          <w:attr w:name="ProductID" w:val="28 018 кв. м"/>
        </w:smartTagPr>
        <w:r w:rsidRPr="00C8397D">
          <w:rPr>
            <w:rFonts w:ascii="Times New Roman" w:hAnsi="Times New Roman"/>
            <w:sz w:val="28"/>
            <w:szCs w:val="28"/>
            <w:lang w:val="ru-RU"/>
          </w:rPr>
          <w:t>28 018 кв. м</w:t>
        </w:r>
      </w:smartTag>
      <w:r w:rsidRPr="00C8397D">
        <w:rPr>
          <w:rFonts w:ascii="Times New Roman" w:hAnsi="Times New Roman"/>
          <w:sz w:val="28"/>
          <w:szCs w:val="28"/>
          <w:lang w:val="ru-RU"/>
        </w:rPr>
        <w:t xml:space="preserve">. МВЦ має 16 конференц-залів площею від </w:t>
      </w:r>
      <w:smartTag w:uri="urn:schemas-microsoft-com:office:smarttags" w:element="metricconverter">
        <w:smartTagPr>
          <w:attr w:name="ProductID" w:val="100 кв. м"/>
        </w:smartTagPr>
        <w:r w:rsidRPr="00C8397D">
          <w:rPr>
            <w:rFonts w:ascii="Times New Roman" w:hAnsi="Times New Roman"/>
            <w:sz w:val="28"/>
            <w:szCs w:val="28"/>
            <w:lang w:val="ru-RU"/>
          </w:rPr>
          <w:t>100 кв. м</w:t>
        </w:r>
      </w:smartTag>
      <w:r w:rsidRPr="00C8397D">
        <w:rPr>
          <w:rFonts w:ascii="Times New Roman" w:hAnsi="Times New Roman"/>
          <w:sz w:val="28"/>
          <w:szCs w:val="28"/>
          <w:lang w:val="ru-RU"/>
        </w:rPr>
        <w:t xml:space="preserve"> до </w:t>
      </w:r>
      <w:smartTag w:uri="urn:schemas-microsoft-com:office:smarttags" w:element="metricconverter">
        <w:smartTagPr>
          <w:attr w:name="ProductID" w:val="670 кв. м"/>
        </w:smartTagPr>
        <w:r w:rsidRPr="00C8397D">
          <w:rPr>
            <w:rFonts w:ascii="Times New Roman" w:hAnsi="Times New Roman"/>
            <w:sz w:val="28"/>
            <w:szCs w:val="28"/>
            <w:lang w:val="ru-RU"/>
          </w:rPr>
          <w:t>670 кв. м</w:t>
        </w:r>
      </w:smartTag>
      <w:r w:rsidRPr="00C8397D">
        <w:rPr>
          <w:rFonts w:ascii="Times New Roman" w:hAnsi="Times New Roman"/>
          <w:sz w:val="28"/>
          <w:szCs w:val="28"/>
          <w:lang w:val="ru-RU"/>
        </w:rPr>
        <w:t>, здатні вмістити від 60-90 до 500-650 посадочних місць. На території МВЦ є також кафе на 200 місць, банкетний зал на 60-80 місць, а також декілька барів та буфетів.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Вартість оренди конференц-приміщень у МВЦ складає $40-140 за годину або $285-1 008 за день.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МВЦ недавно були проведені такі соціо-політичні форуми як П’ята конференція міністрів охорони навколишнього середовища в рамках процесу „Довкілля для Європи”, Виконавча асамблея Всесвітньої енергетичної ради та 7-а Міністерська Конференція з питань інформаційної політики. Щороку у МВЦ також проводяться широкомасштабні міжнародні форуми такі як «Зброя та Безпека», «Паливно- енергетичний комплекс України: теперішнє і майбутнє», «Агро Форум» та інші.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Однак, Міжнародний виставковий центр не спеціалізується в організації конференцій, а здебільшого лише виставок. А оскільки монтаж та розбирання виставкових стендів, та самі виставки звичайно пов’язані з певним шумом, це може спричиняти деяку незручність учасникам конференцій.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Іншим недоліком конференц-приміщень у МВЦ є їх розташування у різних кінцях виставкового центру.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Дуже важко знайти два або більше залів, що знаходяться поблизу один від одного.</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Хоча Міжнародний виставковий центр (МВЦ) знаходиться поза межами центрального ділового району, на лівому березі Дніпра, він також знаходиться </w:t>
      </w:r>
      <w:r w:rsidRPr="00C8397D">
        <w:rPr>
          <w:rFonts w:ascii="Times New Roman" w:hAnsi="Times New Roman"/>
          <w:sz w:val="28"/>
          <w:szCs w:val="28"/>
          <w:lang w:val="ru-RU"/>
        </w:rPr>
        <w:lastRenderedPageBreak/>
        <w:t xml:space="preserve">в межах 500 метрів від станції метро «Лівобережна» та має вигідне фасадне розташування на Броварському проспекті. Планується також будівництво третьої черги Міжнародного виставкового центру загальною площею близько </w:t>
      </w:r>
      <w:smartTag w:uri="urn:schemas-microsoft-com:office:smarttags" w:element="metricconverter">
        <w:smartTagPr>
          <w:attr w:name="ProductID" w:val="16 380 кв. м"/>
        </w:smartTagPr>
        <w:r w:rsidRPr="00C8397D">
          <w:rPr>
            <w:rFonts w:ascii="Times New Roman" w:hAnsi="Times New Roman"/>
            <w:sz w:val="28"/>
            <w:szCs w:val="28"/>
            <w:lang w:val="ru-RU"/>
          </w:rPr>
          <w:t>16 380 кв. м</w:t>
        </w:r>
      </w:smartTag>
      <w:r w:rsidRPr="00C8397D">
        <w:rPr>
          <w:rFonts w:ascii="Times New Roman" w:hAnsi="Times New Roman"/>
          <w:sz w:val="28"/>
          <w:szCs w:val="28"/>
          <w:lang w:val="ru-RU"/>
        </w:rPr>
        <w:t>, а також багатоповерхового паркінгу та підземного переходу від станції метро «Лівобережна».</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«Київ Експо Плаза»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Експо Плаза» (www.expoplaza.kiev.ua) позиціонується як виставковий і конгрес-центр, в якому щорічно проводяться понад 100 національних та міжнародних виставок, а також понад 700 конференцій та корпоративних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«Київ Експо Плазі» - 10 конференц-залів із максимальною місткістю 550 посадочних місць. Усі конференц-зали у «Київ Експо Плазі» можуть бути трансформовані у менші, на 15 - 200 посадочних місць, що дозволяє одночасно проводити там 10 різних заходів. Великі конгреси з кількістю учасників до 10 000 можуть проводитися у самому виставковому центрі. Конференц-зали «Київ Експо Плази» можуть мати різну конфігурацію розсадки, включаючи кругову, театр, класна кімната, круглий стіл, та дозволяють проводити ділові заходи різних типів, такі як форуми, семінари, пленарні засідання, дискусії за круглим столом, командо-утворюючі заходи та семінари.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Восени 2012 року, «Київ Експо Плаза» мала спеціальну пропозицію для організаторів конференцій. Вартість оренди конференц-зали на 80 посадочних місць складала 250 грн. за годину, а вартість конференц-зали на 90-150 місць була 390 грн. за годину.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Як і у Міжнародному виставковому центрі, конференц-зали «Київ Експо Плази» також розташовані у різних частинах будівлі.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Експо Плаза» знаходиться у 15-ти хвилинах ходьби від станції метро «Нивки» у достатньо низькопрофільному районі.</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Національний комплекс «Експоцентр України» (ВДНХ)</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Національний комплекс «Експоцентр України» (так званий ВДНХ) </w:t>
      </w:r>
      <w:r w:rsidRPr="00C8397D">
        <w:rPr>
          <w:rFonts w:ascii="Times New Roman" w:hAnsi="Times New Roman"/>
          <w:sz w:val="28"/>
          <w:szCs w:val="28"/>
          <w:lang w:val="ru-RU"/>
        </w:rPr>
        <w:lastRenderedPageBreak/>
        <w:t xml:space="preserve">(www.expocenter.com.ua) має обладнаний конференц-хол загальною площею </w:t>
      </w:r>
      <w:smartTag w:uri="urn:schemas-microsoft-com:office:smarttags" w:element="metricconverter">
        <w:smartTagPr>
          <w:attr w:name="ProductID" w:val="70 кв. м"/>
        </w:smartTagPr>
        <w:r w:rsidRPr="00C8397D">
          <w:rPr>
            <w:rFonts w:ascii="Times New Roman" w:hAnsi="Times New Roman"/>
            <w:sz w:val="28"/>
            <w:szCs w:val="28"/>
            <w:lang w:val="ru-RU"/>
          </w:rPr>
          <w:t>70 кв. м</w:t>
        </w:r>
      </w:smartTag>
      <w:r w:rsidRPr="00C8397D">
        <w:rPr>
          <w:rFonts w:ascii="Times New Roman" w:hAnsi="Times New Roman"/>
          <w:sz w:val="28"/>
          <w:szCs w:val="28"/>
          <w:lang w:val="ru-RU"/>
        </w:rPr>
        <w:t xml:space="preserve"> на 50 посадочних місць, вартість оренди якого становить 100 грн. за годину (мінімальний строк оренди – 4 години). Хоча інші павільйони Національного комплексу «Експоцентр України» також придатні для проведення конференцій, вони є недостатньо обладнаними..</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Виставковий центр «АККО Інтернешнл»</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Виставковий центр «АККО Інтернешнл» (http://acco.ua) розташований біля станції метро «Шулявка» на території парку Пушкіна.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Виставковий центр складається з критих виставкових приміщень загальною площею </w:t>
      </w:r>
      <w:smartTag w:uri="urn:schemas-microsoft-com:office:smarttags" w:element="metricconverter">
        <w:smartTagPr>
          <w:attr w:name="ProductID" w:val="2600 кв. м"/>
        </w:smartTagPr>
        <w:r w:rsidRPr="00C8397D">
          <w:rPr>
            <w:rFonts w:ascii="Times New Roman" w:hAnsi="Times New Roman"/>
            <w:sz w:val="28"/>
            <w:szCs w:val="28"/>
            <w:lang w:val="ru-RU"/>
          </w:rPr>
          <w:t>2600 кв. м</w:t>
        </w:r>
      </w:smartTag>
      <w:r w:rsidRPr="00C8397D">
        <w:rPr>
          <w:rFonts w:ascii="Times New Roman" w:hAnsi="Times New Roman"/>
          <w:sz w:val="28"/>
          <w:szCs w:val="28"/>
          <w:lang w:val="ru-RU"/>
        </w:rPr>
        <w:t xml:space="preserve">, а також відкритої виставкової території розміром </w:t>
      </w:r>
      <w:smartTag w:uri="urn:schemas-microsoft-com:office:smarttags" w:element="metricconverter">
        <w:smartTagPr>
          <w:attr w:name="ProductID" w:val="1 800 кв. м"/>
        </w:smartTagPr>
        <w:r w:rsidRPr="00C8397D">
          <w:rPr>
            <w:rFonts w:ascii="Times New Roman" w:hAnsi="Times New Roman"/>
            <w:sz w:val="28"/>
            <w:szCs w:val="28"/>
            <w:lang w:val="ru-RU"/>
          </w:rPr>
          <w:t>1 800 кв. м</w:t>
        </w:r>
      </w:smartTag>
      <w:r w:rsidRPr="00C8397D">
        <w:rPr>
          <w:rFonts w:ascii="Times New Roman" w:hAnsi="Times New Roman"/>
          <w:sz w:val="28"/>
          <w:szCs w:val="28"/>
          <w:lang w:val="ru-RU"/>
        </w:rPr>
        <w:t>. Він також має дві конференц-зали на 100 посадочних місць кожна. На першому поверсі центру розташовані ресторан та бар на 150 місць. Згідно з інформацією з загальнодоступних джерел, виставковий центр «АККО Інтернешнл» може забезпечити банкетний сервіс для близько 1 000 людей у основному виставковому холі.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Вартість оренди одного конференц-залу у виставковому центрі «АККО Інтернешнл» становить 540 грн. за годину, включаючи ПДВ. Якщо строк оренди перевищує 5 годин, вартість зменшується до 450 грн. за годину, включаючи ПДВ. Також є можливість орендувати конференц-зал без конференц-обладнання за 375 грн. за годину, включаючи ПДВ.</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Бізнес центри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Конференційні приміщення у бізнес центрах є звичайно меншими за розміром та, відповідно, є придатними лише для ділових зустрічей, переговорів та презентацій.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Наприклад, бізнес центр «Парус» по вул. Мечникова у Києві має 2 конференц-зали. Перший, площею близько </w:t>
      </w:r>
      <w:smartTag w:uri="urn:schemas-microsoft-com:office:smarttags" w:element="metricconverter">
        <w:smartTagPr>
          <w:attr w:name="ProductID" w:val="255 кв. м"/>
        </w:smartTagPr>
        <w:r w:rsidRPr="00C8397D">
          <w:rPr>
            <w:rFonts w:ascii="Times New Roman" w:hAnsi="Times New Roman"/>
            <w:sz w:val="28"/>
            <w:szCs w:val="28"/>
            <w:lang w:val="ru-RU"/>
          </w:rPr>
          <w:t>255 кв. м</w:t>
        </w:r>
      </w:smartTag>
      <w:r w:rsidRPr="00C8397D">
        <w:rPr>
          <w:rFonts w:ascii="Times New Roman" w:hAnsi="Times New Roman"/>
          <w:sz w:val="28"/>
          <w:szCs w:val="28"/>
          <w:lang w:val="ru-RU"/>
        </w:rPr>
        <w:t xml:space="preserve">, може вмістити 300 посадочних місць, та коштує 12 000 грн. на день. Другий зал площею </w:t>
      </w:r>
      <w:smartTag w:uri="urn:schemas-microsoft-com:office:smarttags" w:element="metricconverter">
        <w:smartTagPr>
          <w:attr w:name="ProductID" w:val="155 кв. м"/>
        </w:smartTagPr>
        <w:r w:rsidRPr="00C8397D">
          <w:rPr>
            <w:rFonts w:ascii="Times New Roman" w:hAnsi="Times New Roman"/>
            <w:sz w:val="28"/>
            <w:szCs w:val="28"/>
            <w:lang w:val="ru-RU"/>
          </w:rPr>
          <w:t>155 кв. м</w:t>
        </w:r>
      </w:smartTag>
      <w:r w:rsidRPr="00C8397D">
        <w:rPr>
          <w:rFonts w:ascii="Times New Roman" w:hAnsi="Times New Roman"/>
          <w:sz w:val="28"/>
          <w:szCs w:val="28"/>
          <w:lang w:val="ru-RU"/>
        </w:rPr>
        <w:t xml:space="preserve"> може вмістити 160 учасників та коштує 6 840 грн. на день (ціни зазначені без ПДВ).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Основними перевагами цих конференц-приміщень є їх розташування у </w:t>
      </w:r>
      <w:r w:rsidRPr="00C8397D">
        <w:rPr>
          <w:rFonts w:ascii="Times New Roman" w:hAnsi="Times New Roman"/>
          <w:sz w:val="28"/>
          <w:szCs w:val="28"/>
          <w:lang w:val="ru-RU"/>
        </w:rPr>
        <w:lastRenderedPageBreak/>
        <w:t>центрі міста та розвинута інфраструктура у самому бізнес центрі.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Інший бізнес центр, розташований у центрі міста, «Леонардо» (2 черга), має конференц-зал загальною площею </w:t>
      </w:r>
      <w:smartTag w:uri="urn:schemas-microsoft-com:office:smarttags" w:element="metricconverter">
        <w:smartTagPr>
          <w:attr w:name="ProductID" w:val="60 кв. м"/>
        </w:smartTagPr>
        <w:r w:rsidRPr="00C8397D">
          <w:rPr>
            <w:rFonts w:ascii="Times New Roman" w:hAnsi="Times New Roman"/>
            <w:sz w:val="28"/>
            <w:szCs w:val="28"/>
            <w:lang w:val="ru-RU"/>
          </w:rPr>
          <w:t>60 кв. м</w:t>
        </w:r>
      </w:smartTag>
      <w:r w:rsidRPr="00C8397D">
        <w:rPr>
          <w:rFonts w:ascii="Times New Roman" w:hAnsi="Times New Roman"/>
          <w:sz w:val="28"/>
          <w:szCs w:val="28"/>
          <w:lang w:val="ru-RU"/>
        </w:rPr>
        <w:t>, що може вмістити 30 учасників. Це приміщення звичайно використовується для ділових зустрічей, конференцій, семінарів та круглих столів. Вартість його оренди складає 350 грн. за годину (з ПДВ). Незаперечною перевагою цього конференц-залу є його розташування у центрі міста, поблизу багатьох історичних та культурних пам’яток, а також різноманітних об’єктів інфраструктури.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Іншою перевагою цього приміщення є його розташування у одному з найбільш престижних та відомих бізнес центрів Києва.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Конференційні приміщення також присутні у бізнес центрі «Олімпійський», що розташований у центрі міста, біля станції метро «Олімпійська». Компанії, що знаходяться у цьому бізнес центрі, можуть орендувати там конференц-зали місткістю 40-50 посадочних місць. Вартість їх оренди залежить від їх розміру та додаткових послуг, що пропонуються. Наприклад, багатоцільовий конференц-зал GreenWell в межах БЦ «Олімпійський» пропонує свої кімнати для переговорів розміром 26-</w:t>
      </w:r>
      <w:smartTag w:uri="urn:schemas-microsoft-com:office:smarttags" w:element="metricconverter">
        <w:smartTagPr>
          <w:attr w:name="ProductID" w:val="56 кв. м"/>
        </w:smartTagPr>
        <w:r w:rsidRPr="00C8397D">
          <w:rPr>
            <w:rFonts w:ascii="Times New Roman" w:hAnsi="Times New Roman"/>
            <w:sz w:val="28"/>
            <w:szCs w:val="28"/>
            <w:lang w:val="ru-RU"/>
          </w:rPr>
          <w:t>56 кв. м</w:t>
        </w:r>
      </w:smartTag>
      <w:r w:rsidRPr="00C8397D">
        <w:rPr>
          <w:rFonts w:ascii="Times New Roman" w:hAnsi="Times New Roman"/>
          <w:sz w:val="28"/>
          <w:szCs w:val="28"/>
          <w:lang w:val="ru-RU"/>
        </w:rPr>
        <w:t xml:space="preserve"> за 2 100 - 3 900 грн. на день або 1 200 – 2 500 грн. за 4 години, при чому вартість використання конференц-обладнання уже входить в цю ціну.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Конференційні приміщення також пропонуються у бізнес центрах, що знаходяться в нецентральних районах, таких як FIM Centre, «Очаківський», «Кубік Центр», Forum Business City, «Інком», Watson Telecom та «Квартал», хоча якість їх обладнання та додаткових послуг є дещо нижчою. Однак, вартість їх оренди є набагато нижчою, ніж вартість оренди конференц-приміщень у готелях або престижних бізнес центрах у центрі міста. Вона звичайно варіюється від 50 грн. за годину (наприклад, у БЦ «Квартал», 20-50 посадочних місць) до близько 300-350 грн. за годину (БЦ Watson Telecom та БЦ FIM Centre, 60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Хоча місткість конференц-приміщень у бізнес центрах нецентральних районів Києва звичайно варіюється у межах 40-60 посадочних місць, деякі </w:t>
      </w:r>
      <w:r w:rsidRPr="00C8397D">
        <w:rPr>
          <w:rFonts w:ascii="Times New Roman" w:hAnsi="Times New Roman"/>
          <w:sz w:val="28"/>
          <w:szCs w:val="28"/>
          <w:lang w:val="ru-RU"/>
        </w:rPr>
        <w:lastRenderedPageBreak/>
        <w:t>бізнес центри можуть запропонувати більші конференц-зали, наприклад, на 100 учасників - у бізнес центрі Forum Business City, 120 посадочних місць у БЦ «Очаківський» та 190 посадочних місць у БЦ «Інком».</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Інші приміщення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Хоча готелі, бізнес та виставкові центри є найбільш популярними для проведення конференцій у Києві, існують також інші заклади, що пропонують конференційні приміщення, наприклад, університети, приватні підприємства, концертні холи, спортивні комплекси та ін.</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Державне підприємство Національний центр ділового та культурного співробітництва “Український дім”</w:t>
      </w:r>
      <w:r w:rsidRPr="00C8397D">
        <w:rPr>
          <w:rFonts w:ascii="Times New Roman" w:hAnsi="Times New Roman"/>
          <w:sz w:val="28"/>
          <w:szCs w:val="28"/>
          <w:lang w:val="ru-RU"/>
        </w:rPr>
        <w:t xml:space="preserve"> (www.ukrdim.org.ua) є найбільш популярним місцем проведення міжнародних конференцій, форумів, презентацій, прес конференцій, брифінгів та круглих столів, а також крупних культурних та мистецьких заходів у Києві. Центр розташований біля Європейської площі по вул. Хрещатик, недалеко від станції метро «Майдан Незалежності». Центральний виставковий зал «Українського Дому» розрахований 300-400 місць, концертний зал - 477 місць, а зал презентацій - 200 місць. На початку 2012 року було прийняте рішення відновити «Український Дім», щоб зробити його більш придатним для проведення міжнародних конференцій та засідань вищих урядовців. Початок робіт по відновленню планується на кінець 2012 року, а завершення робіт - через 2 роки.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Національний спортивний комплекс «Олімпійський» (http://nsc-olimpiyskiy.com.ua) пропонує великий конференц-зал «Хол Чемпіонів» загальною площею </w:t>
      </w:r>
      <w:smartTag w:uri="urn:schemas-microsoft-com:office:smarttags" w:element="metricconverter">
        <w:smartTagPr>
          <w:attr w:name="ProductID" w:val="575 кв. м"/>
        </w:smartTagPr>
        <w:r w:rsidRPr="00C8397D">
          <w:rPr>
            <w:rFonts w:ascii="Times New Roman" w:hAnsi="Times New Roman"/>
            <w:sz w:val="28"/>
            <w:szCs w:val="28"/>
            <w:lang w:val="ru-RU"/>
          </w:rPr>
          <w:t>575 кв. м</w:t>
        </w:r>
      </w:smartTag>
      <w:r w:rsidRPr="00C8397D">
        <w:rPr>
          <w:rFonts w:ascii="Times New Roman" w:hAnsi="Times New Roman"/>
          <w:sz w:val="28"/>
          <w:szCs w:val="28"/>
          <w:lang w:val="ru-RU"/>
        </w:rPr>
        <w:t xml:space="preserve"> та висотою стелі </w:t>
      </w:r>
      <w:smartTag w:uri="urn:schemas-microsoft-com:office:smarttags" w:element="metricconverter">
        <w:smartTagPr>
          <w:attr w:name="ProductID" w:val="8 м"/>
        </w:smartTagPr>
        <w:r w:rsidRPr="00C8397D">
          <w:rPr>
            <w:rFonts w:ascii="Times New Roman" w:hAnsi="Times New Roman"/>
            <w:sz w:val="28"/>
            <w:szCs w:val="28"/>
            <w:lang w:val="ru-RU"/>
          </w:rPr>
          <w:t>8 м</w:t>
        </w:r>
      </w:smartTag>
      <w:r w:rsidRPr="00C8397D">
        <w:rPr>
          <w:rFonts w:ascii="Times New Roman" w:hAnsi="Times New Roman"/>
          <w:sz w:val="28"/>
          <w:szCs w:val="28"/>
          <w:lang w:val="ru-RU"/>
        </w:rPr>
        <w:t xml:space="preserve">. Цей зал може бути трансформований у два за допомогою пересувних стін. Для менших заходів НСК «Олімпійський» може запропонувати 4 зали для переговорів площею від </w:t>
      </w:r>
      <w:smartTag w:uri="urn:schemas-microsoft-com:office:smarttags" w:element="metricconverter">
        <w:smartTagPr>
          <w:attr w:name="ProductID" w:val="70 кв. м"/>
        </w:smartTagPr>
        <w:r w:rsidRPr="00C8397D">
          <w:rPr>
            <w:rFonts w:ascii="Times New Roman" w:hAnsi="Times New Roman"/>
            <w:sz w:val="28"/>
            <w:szCs w:val="28"/>
            <w:lang w:val="ru-RU"/>
          </w:rPr>
          <w:t>70 кв. м</w:t>
        </w:r>
      </w:smartTag>
      <w:r w:rsidRPr="00C8397D">
        <w:rPr>
          <w:rFonts w:ascii="Times New Roman" w:hAnsi="Times New Roman"/>
          <w:sz w:val="28"/>
          <w:szCs w:val="28"/>
          <w:lang w:val="ru-RU"/>
        </w:rPr>
        <w:t xml:space="preserve"> до </w:t>
      </w:r>
      <w:smartTag w:uri="urn:schemas-microsoft-com:office:smarttags" w:element="metricconverter">
        <w:smartTagPr>
          <w:attr w:name="ProductID" w:val="123 кв. м"/>
        </w:smartTagPr>
        <w:r w:rsidRPr="00C8397D">
          <w:rPr>
            <w:rFonts w:ascii="Times New Roman" w:hAnsi="Times New Roman"/>
            <w:sz w:val="28"/>
            <w:szCs w:val="28"/>
            <w:lang w:val="ru-RU"/>
          </w:rPr>
          <w:t>123 кв. м</w:t>
        </w:r>
      </w:smartTag>
      <w:r w:rsidRPr="00C8397D">
        <w:rPr>
          <w:rFonts w:ascii="Times New Roman" w:hAnsi="Times New Roman"/>
          <w:sz w:val="28"/>
          <w:szCs w:val="28"/>
          <w:lang w:val="ru-RU"/>
        </w:rPr>
        <w:t>. Він також має дві зони для відпочинку (</w:t>
      </w:r>
      <w:smartTag w:uri="urn:schemas-microsoft-com:office:smarttags" w:element="metricconverter">
        <w:smartTagPr>
          <w:attr w:name="ProductID" w:val="2 775 кв. м"/>
        </w:smartTagPr>
        <w:r w:rsidRPr="00C8397D">
          <w:rPr>
            <w:rFonts w:ascii="Times New Roman" w:hAnsi="Times New Roman"/>
            <w:sz w:val="28"/>
            <w:szCs w:val="28"/>
            <w:lang w:val="ru-RU"/>
          </w:rPr>
          <w:t>2 775 кв. м</w:t>
        </w:r>
      </w:smartTag>
      <w:r w:rsidRPr="00C8397D">
        <w:rPr>
          <w:rFonts w:ascii="Times New Roman" w:hAnsi="Times New Roman"/>
          <w:sz w:val="28"/>
          <w:szCs w:val="28"/>
          <w:lang w:val="ru-RU"/>
        </w:rPr>
        <w:t xml:space="preserve"> та </w:t>
      </w:r>
      <w:smartTag w:uri="urn:schemas-microsoft-com:office:smarttags" w:element="metricconverter">
        <w:smartTagPr>
          <w:attr w:name="ProductID" w:val="1 120 кв. м"/>
        </w:smartTagPr>
        <w:r w:rsidRPr="00C8397D">
          <w:rPr>
            <w:rFonts w:ascii="Times New Roman" w:hAnsi="Times New Roman"/>
            <w:sz w:val="28"/>
            <w:szCs w:val="28"/>
            <w:lang w:val="ru-RU"/>
          </w:rPr>
          <w:t>1 120 кв. м</w:t>
        </w:r>
      </w:smartTag>
      <w:r w:rsidRPr="00C8397D">
        <w:rPr>
          <w:rFonts w:ascii="Times New Roman" w:hAnsi="Times New Roman"/>
          <w:sz w:val="28"/>
          <w:szCs w:val="28"/>
          <w:lang w:val="ru-RU"/>
        </w:rPr>
        <w:t>), які можуть також використовуватися для проведення конференцій, хоча наразі вони здебільшого використовуються для презентацій, святкувань, показів мод та ділових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lastRenderedPageBreak/>
        <w:t>Національна академія наук України</w:t>
      </w:r>
      <w:r w:rsidRPr="00C8397D">
        <w:rPr>
          <w:rFonts w:ascii="Times New Roman" w:hAnsi="Times New Roman"/>
          <w:sz w:val="28"/>
          <w:szCs w:val="28"/>
          <w:lang w:val="ru-RU"/>
        </w:rPr>
        <w:t xml:space="preserve"> пропонує для оренди свій великий конференц-зал, який розташований по вул. Володимирській, 54 та може вмістити до 280 учасників. Зараз там проводяться переважно наукові конференції, економічні форуми, а також презентації, тренінги та семінари міжнародних компаній. Крім того, у будівлі також є два зали на 100 місць та 6 кімнат на 24-50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Торгово-промислова палата України</w:t>
      </w:r>
      <w:r w:rsidRPr="00C8397D">
        <w:rPr>
          <w:rFonts w:ascii="Times New Roman" w:hAnsi="Times New Roman"/>
          <w:sz w:val="28"/>
          <w:szCs w:val="28"/>
          <w:lang w:val="ru-RU"/>
        </w:rPr>
        <w:t xml:space="preserve"> (www.ucci.org.ua) пропонує свій конференц-зал «Колізей» на 180 місць. У будівлі організації, що знаходиться за адресою, вул. Велика Житомирська, 33, є також кімната для зустрічей (</w:t>
      </w:r>
      <w:smartTag w:uri="urn:schemas-microsoft-com:office:smarttags" w:element="metricconverter">
        <w:smartTagPr>
          <w:attr w:name="ProductID" w:val="75 кв. м"/>
        </w:smartTagPr>
        <w:r w:rsidRPr="00C8397D">
          <w:rPr>
            <w:rFonts w:ascii="Times New Roman" w:hAnsi="Times New Roman"/>
            <w:sz w:val="28"/>
            <w:szCs w:val="28"/>
            <w:lang w:val="ru-RU"/>
          </w:rPr>
          <w:t>75 кв. м</w:t>
        </w:r>
      </w:smartTag>
      <w:r w:rsidRPr="00C8397D">
        <w:rPr>
          <w:rFonts w:ascii="Times New Roman" w:hAnsi="Times New Roman"/>
          <w:sz w:val="28"/>
          <w:szCs w:val="28"/>
          <w:lang w:val="ru-RU"/>
        </w:rPr>
        <w:t xml:space="preserve">) та кімната для засідань та семінарів на 40 місць, площа </w:t>
      </w:r>
      <w:smartTag w:uri="urn:schemas-microsoft-com:office:smarttags" w:element="metricconverter">
        <w:smartTagPr>
          <w:attr w:name="ProductID" w:val="67 кв. м"/>
        </w:smartTagPr>
        <w:r w:rsidRPr="00C8397D">
          <w:rPr>
            <w:rFonts w:ascii="Times New Roman" w:hAnsi="Times New Roman"/>
            <w:sz w:val="28"/>
            <w:szCs w:val="28"/>
            <w:lang w:val="ru-RU"/>
          </w:rPr>
          <w:t>67 кв. м</w:t>
        </w:r>
      </w:smartTag>
      <w:r w:rsidRPr="00C8397D">
        <w:rPr>
          <w:rFonts w:ascii="Times New Roman" w:hAnsi="Times New Roman"/>
          <w:sz w:val="28"/>
          <w:szCs w:val="28"/>
          <w:lang w:val="ru-RU"/>
        </w:rPr>
        <w: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Київська торгово-промислова палата (www.kiev-chamber.org.ua) пропонує 2 конференц-зали на 84 та 100 місць, які знаходяться в адміністративній будівлі по вул. Богдана Хмельницького, 55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Деякі </w:t>
      </w:r>
      <w:r w:rsidRPr="00C8397D">
        <w:rPr>
          <w:rFonts w:ascii="Times New Roman" w:hAnsi="Times New Roman"/>
          <w:b/>
          <w:sz w:val="28"/>
          <w:szCs w:val="28"/>
          <w:lang w:val="ru-RU"/>
        </w:rPr>
        <w:t>державні установи Києва</w:t>
      </w:r>
      <w:r w:rsidRPr="00C8397D">
        <w:rPr>
          <w:rFonts w:ascii="Times New Roman" w:hAnsi="Times New Roman"/>
          <w:sz w:val="28"/>
          <w:szCs w:val="28"/>
          <w:lang w:val="ru-RU"/>
        </w:rPr>
        <w:t xml:space="preserve"> також здають в оренду свої приміщення для проведення конференцій та інших заходів. Наприклад, </w:t>
      </w:r>
      <w:r w:rsidRPr="00C8397D">
        <w:rPr>
          <w:rFonts w:ascii="Times New Roman" w:hAnsi="Times New Roman"/>
          <w:i/>
          <w:sz w:val="28"/>
          <w:szCs w:val="28"/>
          <w:lang w:val="ru-RU"/>
        </w:rPr>
        <w:t xml:space="preserve">Київська міська державна адміністрація </w:t>
      </w:r>
      <w:r w:rsidRPr="00C8397D">
        <w:rPr>
          <w:rFonts w:ascii="Times New Roman" w:hAnsi="Times New Roman"/>
          <w:sz w:val="28"/>
          <w:szCs w:val="28"/>
          <w:lang w:val="ru-RU"/>
        </w:rPr>
        <w:t>пропонує свій конференц-зал на 500 місць, що розташований поблизу станції метро «Печерська».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Іншим місцем проведення конференцій у Києві є </w:t>
      </w:r>
      <w:r w:rsidRPr="00C8397D">
        <w:rPr>
          <w:rFonts w:ascii="Times New Roman" w:hAnsi="Times New Roman"/>
          <w:b/>
          <w:sz w:val="28"/>
          <w:szCs w:val="28"/>
          <w:lang w:val="ru-RU"/>
        </w:rPr>
        <w:t>кінотеатр радянських часів «Зоряний»</w:t>
      </w:r>
      <w:r w:rsidRPr="00C8397D">
        <w:rPr>
          <w:rFonts w:ascii="Times New Roman" w:hAnsi="Times New Roman"/>
          <w:sz w:val="28"/>
          <w:szCs w:val="28"/>
          <w:lang w:val="ru-RU"/>
        </w:rPr>
        <w:t xml:space="preserve">, що пропонує конференц-зали площею </w:t>
      </w:r>
      <w:smartTag w:uri="urn:schemas-microsoft-com:office:smarttags" w:element="metricconverter">
        <w:smartTagPr>
          <w:attr w:name="ProductID" w:val="515 кв. м"/>
        </w:smartTagPr>
        <w:r w:rsidRPr="00C8397D">
          <w:rPr>
            <w:rFonts w:ascii="Times New Roman" w:hAnsi="Times New Roman"/>
            <w:sz w:val="28"/>
            <w:szCs w:val="28"/>
            <w:lang w:val="ru-RU"/>
          </w:rPr>
          <w:t>515 кв. м</w:t>
        </w:r>
      </w:smartTag>
      <w:r w:rsidRPr="00C8397D">
        <w:rPr>
          <w:rFonts w:ascii="Times New Roman" w:hAnsi="Times New Roman"/>
          <w:sz w:val="28"/>
          <w:szCs w:val="28"/>
          <w:lang w:val="ru-RU"/>
        </w:rPr>
        <w:t xml:space="preserve"> на 377-400 місць та площею </w:t>
      </w:r>
      <w:smartTag w:uri="urn:schemas-microsoft-com:office:smarttags" w:element="metricconverter">
        <w:smartTagPr>
          <w:attr w:name="ProductID" w:val="132 кв. м"/>
        </w:smartTagPr>
        <w:r w:rsidRPr="00C8397D">
          <w:rPr>
            <w:rFonts w:ascii="Times New Roman" w:hAnsi="Times New Roman"/>
            <w:sz w:val="28"/>
            <w:szCs w:val="28"/>
            <w:lang w:val="ru-RU"/>
          </w:rPr>
          <w:t>132 кв. м</w:t>
        </w:r>
      </w:smartTag>
      <w:r w:rsidRPr="00C8397D">
        <w:rPr>
          <w:rFonts w:ascii="Times New Roman" w:hAnsi="Times New Roman"/>
          <w:sz w:val="28"/>
          <w:szCs w:val="28"/>
          <w:lang w:val="ru-RU"/>
        </w:rPr>
        <w:t xml:space="preserve"> на 116-150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Конференції у Києві також іноді проводяться у концерт-холах Freedom та «Оазис». </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Концерт-хол Freedom</w:t>
      </w:r>
      <w:r w:rsidRPr="00C8397D">
        <w:rPr>
          <w:rFonts w:ascii="Times New Roman" w:hAnsi="Times New Roman"/>
          <w:sz w:val="28"/>
          <w:szCs w:val="28"/>
          <w:lang w:val="ru-RU"/>
        </w:rPr>
        <w:t xml:space="preserve"> (http://freedomhall.com.ua) знаходиться недалеко від місцевості Петрівка та пропонує широкий ряд послуг з проведення різних заходів, як то конференції, конгреси, концерти, покази мод, корпоративні заходи та ін. Це двоповерховий концертний зал площею </w:t>
      </w:r>
      <w:smartTag w:uri="urn:schemas-microsoft-com:office:smarttags" w:element="metricconverter">
        <w:smartTagPr>
          <w:attr w:name="ProductID" w:val="700 кв. м"/>
        </w:smartTagPr>
        <w:r w:rsidRPr="00C8397D">
          <w:rPr>
            <w:rFonts w:ascii="Times New Roman" w:hAnsi="Times New Roman"/>
            <w:sz w:val="28"/>
            <w:szCs w:val="28"/>
            <w:lang w:val="ru-RU"/>
          </w:rPr>
          <w:t>700 кв. м</w:t>
        </w:r>
      </w:smartTag>
      <w:r w:rsidRPr="00C8397D">
        <w:rPr>
          <w:rFonts w:ascii="Times New Roman" w:hAnsi="Times New Roman"/>
          <w:sz w:val="28"/>
          <w:szCs w:val="28"/>
          <w:lang w:val="ru-RU"/>
        </w:rPr>
        <w:t xml:space="preserve"> на 1 500 посадочних місць. Він також може бути трансформований у менший зал на 278 місць з балконом на другому поверсі на 148 місць та VIP-кімнатами на 8-16 людей.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Концерт-хол «Оазис</w:t>
      </w:r>
      <w:r w:rsidRPr="00C8397D">
        <w:rPr>
          <w:rFonts w:ascii="Times New Roman" w:hAnsi="Times New Roman"/>
          <w:sz w:val="28"/>
          <w:szCs w:val="28"/>
          <w:lang w:val="ru-RU"/>
        </w:rPr>
        <w:t>» (</w:t>
      </w:r>
      <w:hyperlink r:id="rId30" w:history="1">
        <w:r w:rsidRPr="00C8397D">
          <w:rPr>
            <w:rStyle w:val="a4"/>
            <w:rFonts w:ascii="Times New Roman" w:hAnsi="Times New Roman"/>
            <w:color w:val="auto"/>
            <w:sz w:val="28"/>
            <w:szCs w:val="28"/>
            <w:lang w:val="ru-RU"/>
          </w:rPr>
          <w:t>http://oasis-restaurant.kiev.ua</w:t>
        </w:r>
      </w:hyperlink>
      <w:r w:rsidRPr="00C8397D">
        <w:rPr>
          <w:rFonts w:ascii="Times New Roman" w:hAnsi="Times New Roman"/>
          <w:sz w:val="28"/>
          <w:szCs w:val="28"/>
          <w:lang w:val="ru-RU"/>
        </w:rPr>
        <w:t xml:space="preserve">) знаходиться у </w:t>
      </w:r>
      <w:r w:rsidRPr="00C8397D">
        <w:rPr>
          <w:rFonts w:ascii="Times New Roman" w:hAnsi="Times New Roman"/>
          <w:sz w:val="28"/>
          <w:szCs w:val="28"/>
          <w:lang w:val="ru-RU"/>
        </w:rPr>
        <w:lastRenderedPageBreak/>
        <w:t>розважальному комплексі «Ультрамарин» недалеко від Центрального залізничного вокзалу та центрального ділового району Києва. Він може вмістити 600 посадочних місць з конфігурацією розташування «театром» та 300 місць, якщо учасники конференції сидять за столами. Концерт-хол також має VIP-кімнату на 70 посадочних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Іншими закладами, що пропонують свої приміщення для проведення конференцій є </w:t>
      </w:r>
      <w:r w:rsidRPr="00C8397D">
        <w:rPr>
          <w:rFonts w:ascii="Times New Roman" w:hAnsi="Times New Roman"/>
          <w:b/>
          <w:sz w:val="28"/>
          <w:szCs w:val="28"/>
          <w:lang w:val="ru-RU"/>
        </w:rPr>
        <w:t>університети</w:t>
      </w:r>
      <w:r w:rsidRPr="00C8397D">
        <w:rPr>
          <w:rFonts w:ascii="Times New Roman" w:hAnsi="Times New Roman"/>
          <w:sz w:val="28"/>
          <w:szCs w:val="28"/>
          <w:lang w:val="ru-RU"/>
        </w:rPr>
        <w: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Наприклад, Інститут міжнародних відносин Київського національного університету ім. Тараса Шевченка пропонує конференц-зали на 120, 360, 500 та 800 посадочних місць у своїй будівлі по вул. Мельникова, що знаходиться у пішохідній доступності від станції метро «Лук’янівська».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Інші організації, що розташовані у різних районах Києва, також пропонують свої приміщення, які можуть бути придатними для проведення різних заходів, включаючи конференції. Київський Гольф Центр (www.golf-center.com.ua) у Оболонському районі є однією з таких організацій. Це багатофункціональний комплекс, що об’єднує гольф, розважальну та ділову складові. Площа його критих приміщень, що може використовуватися для різних заходів, складає </w:t>
      </w:r>
      <w:smartTag w:uri="urn:schemas-microsoft-com:office:smarttags" w:element="metricconverter">
        <w:smartTagPr>
          <w:attr w:name="ProductID" w:val="6 000 кв. м"/>
        </w:smartTagPr>
        <w:r w:rsidRPr="00C8397D">
          <w:rPr>
            <w:rFonts w:ascii="Times New Roman" w:hAnsi="Times New Roman"/>
            <w:sz w:val="28"/>
            <w:szCs w:val="28"/>
            <w:lang w:val="ru-RU"/>
          </w:rPr>
          <w:t>6 000 кв. м</w:t>
        </w:r>
      </w:smartTag>
      <w:r w:rsidRPr="00C8397D">
        <w:rPr>
          <w:rFonts w:ascii="Times New Roman" w:hAnsi="Times New Roman"/>
          <w:sz w:val="28"/>
          <w:szCs w:val="28"/>
          <w:lang w:val="ru-RU"/>
        </w:rPr>
        <w:t xml:space="preserve">. У його «Гранд Холі» площею </w:t>
      </w:r>
      <w:smartTag w:uri="urn:schemas-microsoft-com:office:smarttags" w:element="metricconverter">
        <w:smartTagPr>
          <w:attr w:name="ProductID" w:val="1 700 кв. м"/>
        </w:smartTagPr>
        <w:r w:rsidRPr="00C8397D">
          <w:rPr>
            <w:rFonts w:ascii="Times New Roman" w:hAnsi="Times New Roman"/>
            <w:sz w:val="28"/>
            <w:szCs w:val="28"/>
            <w:lang w:val="ru-RU"/>
          </w:rPr>
          <w:t>1 700 кв. м</w:t>
        </w:r>
      </w:smartTag>
      <w:r w:rsidRPr="00C8397D">
        <w:rPr>
          <w:rFonts w:ascii="Times New Roman" w:hAnsi="Times New Roman"/>
          <w:sz w:val="28"/>
          <w:szCs w:val="28"/>
          <w:lang w:val="ru-RU"/>
        </w:rPr>
        <w:t xml:space="preserve"> можна розмістити від 300 до 1 000 людей залежно від конфігурації розсадки. «Білий зал» загальною площею </w:t>
      </w:r>
      <w:smartTag w:uri="urn:schemas-microsoft-com:office:smarttags" w:element="metricconverter">
        <w:smartTagPr>
          <w:attr w:name="ProductID" w:val="600 кв. м"/>
        </w:smartTagPr>
        <w:r w:rsidRPr="00C8397D">
          <w:rPr>
            <w:rFonts w:ascii="Times New Roman" w:hAnsi="Times New Roman"/>
            <w:sz w:val="28"/>
            <w:szCs w:val="28"/>
            <w:lang w:val="ru-RU"/>
          </w:rPr>
          <w:t>600 кв. м</w:t>
        </w:r>
      </w:smartTag>
      <w:r w:rsidRPr="00C8397D">
        <w:rPr>
          <w:rFonts w:ascii="Times New Roman" w:hAnsi="Times New Roman"/>
          <w:sz w:val="28"/>
          <w:szCs w:val="28"/>
          <w:lang w:val="ru-RU"/>
        </w:rPr>
        <w:t xml:space="preserve"> розрахований на 200-400 посадочних місць, зал «Вишуканий Еліт» та зал для семінарів площею </w:t>
      </w:r>
      <w:smartTag w:uri="urn:schemas-microsoft-com:office:smarttags" w:element="metricconverter">
        <w:smartTagPr>
          <w:attr w:name="ProductID" w:val="300 кв. м"/>
        </w:smartTagPr>
        <w:r w:rsidRPr="00C8397D">
          <w:rPr>
            <w:rFonts w:ascii="Times New Roman" w:hAnsi="Times New Roman"/>
            <w:sz w:val="28"/>
            <w:szCs w:val="28"/>
            <w:lang w:val="ru-RU"/>
          </w:rPr>
          <w:t>300 кв. м</w:t>
        </w:r>
      </w:smartTag>
      <w:r w:rsidRPr="00C8397D">
        <w:rPr>
          <w:rFonts w:ascii="Times New Roman" w:hAnsi="Times New Roman"/>
          <w:sz w:val="28"/>
          <w:szCs w:val="28"/>
          <w:lang w:val="ru-RU"/>
        </w:rPr>
        <w:t xml:space="preserve"> та </w:t>
      </w:r>
      <w:smartTag w:uri="urn:schemas-microsoft-com:office:smarttags" w:element="metricconverter">
        <w:smartTagPr>
          <w:attr w:name="ProductID" w:val="220 кв. м"/>
        </w:smartTagPr>
        <w:r w:rsidRPr="00C8397D">
          <w:rPr>
            <w:rFonts w:ascii="Times New Roman" w:hAnsi="Times New Roman"/>
            <w:sz w:val="28"/>
            <w:szCs w:val="28"/>
            <w:lang w:val="ru-RU"/>
          </w:rPr>
          <w:t>220 кв. м</w:t>
        </w:r>
      </w:smartTag>
      <w:r w:rsidRPr="00C8397D">
        <w:rPr>
          <w:rFonts w:ascii="Times New Roman" w:hAnsi="Times New Roman"/>
          <w:sz w:val="28"/>
          <w:szCs w:val="28"/>
          <w:lang w:val="ru-RU"/>
        </w:rPr>
        <w:t xml:space="preserve"> можуть відповідно вмістити 80-150 та 50-100 людей.</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Згідно словнику Webster виставка – це колекція речей (товарів або виробів мистецтва та інше) для публічного огляду. Виставки бувають великими як Всесвітня виставка 2012 у Йосі Корея, та маленькі виставки одного митця чи компанії які виставляють один продукт.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Деякі виставки відкриті для всіх бажаючих, інші організовані тільки для представників та членів окремих компаній / організацій / об'єднань.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Комерційні виставки є виставками які включають торгові ярмарки, </w:t>
      </w:r>
      <w:r w:rsidRPr="00C8397D">
        <w:rPr>
          <w:rFonts w:ascii="Times New Roman" w:hAnsi="Times New Roman"/>
          <w:sz w:val="28"/>
          <w:szCs w:val="28"/>
          <w:lang w:val="ru-RU"/>
        </w:rPr>
        <w:lastRenderedPageBreak/>
        <w:t>торгові та всесвітні виставки. Їх основна мета полягає в представленні нових, або вже існуючих продуктів і послуг, показу новітніх тенденції та заохочуванні учасників виставки до ділового спілкування. Виставки являються важливим інструментом маркетингу для компаній та організацій, який може допомогти поліпшити контакти з клієнтами, забезпечити та прискорити нові продажі. Ринок виставок та конвенцій в загалом може відігравати важливу роль у соціальному та економічному розвитку міста, підвищуючи ти самим загальний образ міста, при умові що розвиток виставкової індустрії є чітко спланованим та сфокусованим з посиланням на конкурентні переваги міста та країни в цілому.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Існують всесвітні виставки які є актуальними в будь-яку пору року (ті що стосуються здоров’я, краси, відпочинку та розваг, та інших спеці вічних індустрій), та є такі що проводяться лише у певному сезоні.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Наприклад, сільськогосподарські виставки, як правило, проводяться в зимовий час, поки немає польових робіт.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Виставки пов’язані з охолоджувальною технікою актуальні весною, надаючи час для потенційних клієнтів для укладання договорів, та отримання товару до літнього сезону.</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Виставкова діяльність у світі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Однією з основних тенденцій сучасного розвитку виставкової індустрії в усьому світі є його консолідація, яка спостерігається в країнах з розвиненою виставкової індустрії, наприклад, Німеччина. Суть консолідації заключається в присутності декількох операторів на ринку виставкових послуг, які виконують більший обсяг роботи презентуючи більшу кількість товарів Менша кількість операторів виставкової діяльності дозволяє мінімізувати витрати, підвищити ефективність і збільшити загальний позитивний ефект від виставкового бізнесу.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 світових лідерів ринку виставкової промисловості є такі країни як Німеччина, Китай, США та Італія.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Нині близько половини всіх виставок у світі проводяться в Німеччині, </w:t>
      </w:r>
      <w:r w:rsidRPr="00C8397D">
        <w:rPr>
          <w:rFonts w:ascii="Times New Roman" w:hAnsi="Times New Roman"/>
          <w:sz w:val="28"/>
          <w:szCs w:val="28"/>
          <w:lang w:val="ru-RU"/>
        </w:rPr>
        <w:lastRenderedPageBreak/>
        <w:t>яка має довгу історію виставкового ринку. Країна приділяє особливу увагу ретельної класифікації всіх виставок - як галузевих виставок для фахівців та і регіональних заходів для спеціалізованих клієнтів. Одна з найвідоміших німецьких виставок є Hannover Messe, яка є однією з найбільших міжнародних виставок в області промисловості, автоматизації та інноваційній сферах. У Німеччині найбільші виставки проходять в Берліні, Мюнхені, Кельні, Франкфурті, Дюссельдорфі та Лейпцигу.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Китай належить до однієї з країн світу з економікою, що розвивається дуже високими темпами. Що в свою чергу підтримує розвиток ринку виставок у країні на рівні 20% в рік. Найбільші виставкові центри у Китаї, розташований в Пекіні, Шанхаї і Гуанчжоу. Більшість виставок у Китаї є вузькоспеціалізованими.</w:t>
      </w:r>
    </w:p>
    <w:p w:rsidR="00192005" w:rsidRPr="00C8397D" w:rsidRDefault="00192005" w:rsidP="00192005">
      <w:pPr>
        <w:spacing w:after="0" w:line="360" w:lineRule="auto"/>
        <w:ind w:firstLine="709"/>
        <w:jc w:val="both"/>
        <w:rPr>
          <w:rFonts w:ascii="Times New Roman" w:hAnsi="Times New Roman"/>
          <w:sz w:val="28"/>
          <w:szCs w:val="28"/>
        </w:rPr>
      </w:pPr>
      <w:r w:rsidRPr="00C8397D">
        <w:rPr>
          <w:rFonts w:ascii="Times New Roman" w:hAnsi="Times New Roman"/>
          <w:sz w:val="28"/>
          <w:szCs w:val="28"/>
          <w:lang w:val="ru-RU"/>
        </w:rPr>
        <w:t xml:space="preserve">Близько 10% всіх виставок у Китаї пов'язані з ІТ-сферою </w:t>
      </w:r>
      <w:r w:rsidRPr="00C8397D">
        <w:rPr>
          <w:rFonts w:ascii="Times New Roman" w:hAnsi="Times New Roman"/>
          <w:sz w:val="28"/>
          <w:szCs w:val="28"/>
        </w:rPr>
        <w:t>(PT / Expo Comm China, China Computer World</w:t>
      </w:r>
      <w:r w:rsidRPr="00C8397D">
        <w:rPr>
          <w:rFonts w:ascii="Times New Roman" w:hAnsi="Times New Roman"/>
          <w:sz w:val="28"/>
          <w:szCs w:val="28"/>
          <w:lang w:val="uk-UA"/>
        </w:rPr>
        <w:t xml:space="preserve"> </w:t>
      </w:r>
      <w:r w:rsidRPr="00C8397D">
        <w:rPr>
          <w:rFonts w:ascii="Times New Roman" w:hAnsi="Times New Roman"/>
          <w:sz w:val="28"/>
          <w:szCs w:val="28"/>
        </w:rPr>
        <w:t xml:space="preserve">Expo, </w:t>
      </w:r>
      <w:r w:rsidRPr="00C8397D">
        <w:rPr>
          <w:rFonts w:ascii="Times New Roman" w:hAnsi="Times New Roman"/>
          <w:sz w:val="28"/>
          <w:szCs w:val="28"/>
          <w:lang w:val="ru-RU"/>
        </w:rPr>
        <w:t>і</w:t>
      </w:r>
      <w:r w:rsidRPr="00C8397D">
        <w:rPr>
          <w:rFonts w:ascii="Times New Roman" w:hAnsi="Times New Roman"/>
          <w:sz w:val="28"/>
          <w:szCs w:val="28"/>
        </w:rPr>
        <w:t xml:space="preserve"> </w:t>
      </w:r>
      <w:r w:rsidRPr="00C8397D">
        <w:rPr>
          <w:rFonts w:ascii="Times New Roman" w:hAnsi="Times New Roman"/>
          <w:sz w:val="28"/>
          <w:szCs w:val="28"/>
          <w:lang w:val="ru-RU"/>
        </w:rPr>
        <w:t>т</w:t>
      </w:r>
      <w:r w:rsidRPr="00C8397D">
        <w:rPr>
          <w:rFonts w:ascii="Times New Roman" w:hAnsi="Times New Roman"/>
          <w:sz w:val="28"/>
          <w:szCs w:val="28"/>
        </w:rPr>
        <w:t>.</w:t>
      </w:r>
      <w:r w:rsidRPr="00C8397D">
        <w:rPr>
          <w:rFonts w:ascii="Times New Roman" w:hAnsi="Times New Roman"/>
          <w:sz w:val="28"/>
          <w:szCs w:val="28"/>
          <w:lang w:val="ru-RU"/>
        </w:rPr>
        <w:t>д</w:t>
      </w:r>
      <w:r w:rsidRPr="00C8397D">
        <w:rPr>
          <w:rFonts w:ascii="Times New Roman" w:hAnsi="Times New Roman"/>
          <w:sz w:val="28"/>
          <w:szCs w:val="28"/>
        </w:rPr>
        <w: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Однією з головних причин швидкого розвитку виставкових послуг в США вважається зростання виробництва в країні. Виставкові центри надають приміщення, де компанії і організації могли б рекламувати і продавати свої товари та послуги.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Італія також є відомим центром світової виставкової індустрії. Найбільший організатор виставок в країні, Fiera Milano, була заснована в 1920 році і має більше ніж 20 представництв по всьому світу. Італія славиться виставками у сфері моди, а саме, одягу, взуття та аксесуарів.</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Виставкова діяльність в Україні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 даними Державного комітету статистики України, в 2011 році було зареєстровано 107 операторів виставкової діяльності, що протягом року провели 497 виставки та 619 ярмарків, чотири з яких відбулися за кордоном (3 в Росії та 1 в Білорусі), решта була проведена в Україні.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За даними Державного комітету статистики України, у 2011 році структура виставкової діяльності у Україні була наступна: близько 33% всіх виставок (163 виставок) були транс-регіональними, 32% - міжнародні, 31% - </w:t>
      </w:r>
      <w:r w:rsidRPr="00C8397D">
        <w:rPr>
          <w:rFonts w:ascii="Times New Roman" w:hAnsi="Times New Roman"/>
          <w:sz w:val="28"/>
          <w:szCs w:val="28"/>
          <w:lang w:val="ru-RU"/>
        </w:rPr>
        <w:lastRenderedPageBreak/>
        <w:t>національні і 4,6% - регіональні виставки. У 2010 та 2011 роках в Україні не було проведено жодної глобальної/всесвітньої виставки.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виставок було проведено у Києві (близько 47% або 233 виставки), Донецькій області (5,6%), Одеській області (5,4%), Кіровоградській області (5%), Львівській області (5%), Республіці Крим (5,2%) та Харківська області (4,4%). Переважна більшість міжнародних виставок відбулася в місті Києві (77,4%) та Львівської області (8,8%).</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774440" cy="254889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l="3447" t="47054" r="72969" b="24686"/>
                    <a:stretch>
                      <a:fillRect/>
                    </a:stretch>
                  </pic:blipFill>
                  <pic:spPr bwMode="auto">
                    <a:xfrm>
                      <a:off x="0" y="0"/>
                      <a:ext cx="3774440" cy="254889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4.3.3.1 - Виставкова діяльність в Україні у 2011 році за регіонами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близько 97% всіх виставок, що проводилися в Україні були профінансовані комерційними установами.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виставок, що проводяться в Україні були класифіковані як спеціалізовані (78%) і універсальні (12%). Близько 64% всіх виставок було проведено для фахівців і широкого кола клієнтів, 18% - тільки для фахівців і 17,5% - для широкого кола споживачів. Більшість виставок, що проводилися у 2011 році в Україні були щорічні виставки в тому числі 24% - сезонні і 1,4% - періодичні.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Станом кінець 2011 року в Україні оперували 19 виставкових центрів, загальною площею 202 000 кв.м. У 2011 році середня тривалість виставок, що проводились в Києві та Україні в цілому становила 4 дні.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 протязі 2011 року близько 36 700 чоловік, включаючи 3 200 </w:t>
      </w:r>
      <w:r w:rsidRPr="00C8397D">
        <w:rPr>
          <w:rFonts w:ascii="Times New Roman" w:hAnsi="Times New Roman"/>
          <w:sz w:val="28"/>
          <w:szCs w:val="28"/>
          <w:lang w:val="ru-RU"/>
        </w:rPr>
        <w:lastRenderedPageBreak/>
        <w:t>іноземців з 65 країн світу, взяли участь у виставках, що проводились в Україні. Громадяни наступних країн приймали найбільш активну участь у відвідуванні виставок в Україні протягом 2011 року: Росія (118 відвіданих виставок), Польща (118), Німеччина (104), Білорусі (86), Туреччина (77), Китай (56) та Франція (53).</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Виставкова діяльність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є столицею і центром ділової активності в країні. Як результат, більшість виставок в Україні відбудеться в Києві (близько 47% в 2011 році).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загальна площа під виставки у Києві дорівнювалась 831 487 кв.м, що становило приблизно 80% від загальної площі всієї виставкової території в Україні.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близько 64% всіх організаторів виставок, 45% всіх учасників та 38% всіх відвідувачів виставок в Україні були з Києва. 12% всіх учасників та 3,5% від усіх відвідувачів виставок у Києві були іноземцями. Фахівці, що працюють в регіонах Україні, як правило, приїздять до Києва для проведення виставок, але ця особливість не працює у зворотному напрямку. Київські спеціалісти менш охоче приїздять в регіони на виставки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у Києві було проведено міжнародні (53%), національних виставок (35%) та міжрегіональних (12%) виставки.</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968750" cy="253873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l="3683" t="38155" r="70947" b="33104"/>
                    <a:stretch>
                      <a:fillRect/>
                    </a:stretch>
                  </pic:blipFill>
                  <pic:spPr bwMode="auto">
                    <a:xfrm>
                      <a:off x="0" y="0"/>
                      <a:ext cx="3968750" cy="253873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4.3.3.2 - В</w:t>
      </w:r>
      <w:r w:rsidRPr="00C8397D">
        <w:rPr>
          <w:rFonts w:ascii="Times New Roman" w:hAnsi="Times New Roman"/>
          <w:sz w:val="28"/>
          <w:szCs w:val="28"/>
          <w:lang w:val="ru-RU"/>
        </w:rPr>
        <w:t>иставкова діяльність в Україні у 2011 році за її статусом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Більшість виставок, що проводяться в Києві були класифіковані як спеціалізовані або галузеві (95%) і лише близько 2% - універсальні та багато секторальні. 90% виставок були щорічний, 19%-сезонні і лише 1% - періодична. Середня тривалість виставки в Києві у 2011 році склал 4 дні.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Найбільший і найвідоміший місця проведення виставок у Києві є Міжнародний виставковий центр, Експо Плаза, Національний комплекс Експоцентр України (ВДНХ), Виставковий центр української торгової палати, "ЗовнішЕкспоБізнес", Український Дім і Acco International.</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Міжнародний виставковий центр (МВЦ)</w:t>
      </w:r>
      <w:r w:rsidRPr="00C8397D">
        <w:rPr>
          <w:rFonts w:ascii="Times New Roman" w:hAnsi="Times New Roman"/>
          <w:sz w:val="28"/>
          <w:szCs w:val="28"/>
          <w:lang w:val="ru-RU"/>
        </w:rPr>
        <w:t xml:space="preserve"> знаходиться недалеко від станції метро «Лівобережна» та є найбільшою виставковою спорудою в Україні, яка має загальну площу близько 58 000 кв.м., в тому числі 28 018 кв.м виставкової площі, що включає в себе три павільйони, конгрес-хол і 14 конференц-залів з місткістю 90-600 місць. МВЦ був заснований у 2002 році, а у жовтні 2005 року він вступив до «Всесвітньої Асоціації Виставкової Індустрії» в двох категоріях - як «епіцентр» та «організатор торгових виставок». Згідно зі планами розвитку виставкового центру, у 2013, планується почати будівництво нового павільйону, загальною площею близько 36 000 кв.м Очікується, що виставковий центр буде проводити політичні та економічні форуми, виставки, конгреси та інші заходи.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Київ Експо Плаза</w:t>
      </w:r>
      <w:r w:rsidRPr="00C8397D">
        <w:rPr>
          <w:rFonts w:ascii="Times New Roman" w:hAnsi="Times New Roman"/>
          <w:sz w:val="28"/>
          <w:szCs w:val="28"/>
          <w:lang w:val="ru-RU"/>
        </w:rPr>
        <w:t xml:space="preserve"> - виставковий та конгрес центр заснований у 2003 році і розташований недалеко від метро «Нивки». Виставковий центр включає в себе три павільйони загальною площею 28 000 кв.м. Крім того, виставковий центр налічує 10 конференц-залів місткістю до 550 місць. Кожен рік виставковий центр проводить більше ніж 100 національних і міжнародних виставок, та близько 700 конференцій і корпоративних заходів. Більше 8 000 компаній (у тому числі понад 2 тисяч іноземних) брали участь у виставках, налічуючи більше 600 000 відвідувачів щороку.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Національний виставковий комплекс «Експоцентр Україна»</w:t>
      </w:r>
      <w:r w:rsidRPr="00C8397D">
        <w:rPr>
          <w:rFonts w:ascii="Times New Roman" w:hAnsi="Times New Roman"/>
          <w:sz w:val="28"/>
          <w:szCs w:val="28"/>
          <w:lang w:val="ru-RU"/>
        </w:rPr>
        <w:t xml:space="preserve"> (колишній ВДНХ) – єдиний державний виставковий центр в Україні, заснований у 1958 році. Виставковий комплекс є членом «Всесвітньої </w:t>
      </w:r>
      <w:r w:rsidRPr="00C8397D">
        <w:rPr>
          <w:rFonts w:ascii="Times New Roman" w:hAnsi="Times New Roman"/>
          <w:sz w:val="28"/>
          <w:szCs w:val="28"/>
          <w:lang w:val="ru-RU"/>
        </w:rPr>
        <w:lastRenderedPageBreak/>
        <w:t>Асоціації Виставкової Індустрії» (UFI), «Виставкової Федерації України» (ВФУ), та «Російського союзу виставок та ярмарків». Загальна площа павільйонів виставкового комплексу складає 18 000 кв.м в той час як відкрита виставкова територія займає приблизно 51 000 кв.м. Виставковий центр, щорічно, проводить близько 80 виставок, половина з яких є міжнародними та національними спеціалізованими виставками. У виставковому центрі також проводяться корпоративні, спортивні та інші заходи.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Найпопулярнішими заходами у виставковому центрі є виставки «Поліграф», «Промисловий тиждень», «Грибна промисловість», та виставка «Овочів та фруктів України». Національний виставковий комплекс, щорічно, нараховує близько 1 мільйону відвідувачів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Виставковий центр «Української торгової палати»</w:t>
      </w:r>
      <w:r w:rsidRPr="00C8397D">
        <w:rPr>
          <w:rFonts w:ascii="Times New Roman" w:hAnsi="Times New Roman"/>
          <w:sz w:val="28"/>
          <w:szCs w:val="28"/>
          <w:lang w:val="ru-RU"/>
        </w:rPr>
        <w:t xml:space="preserve"> розташований на вулиці Велика Житомирська, недалеко від Львівської площі. Виставковий центр був заснований у 1972 році та є відомим оператором виставкової діяльності в Україні. Центр є некомерційною, не урядовою установою, що станом на 2012 рік налічувала більше 9 000 членів. Виставковий центр має в розпорядженні виставкових хол площею 1 700 кв.м та конференц-зал на 180 місць.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Компанія «ВнешЕкспоБізнес»</w:t>
      </w:r>
      <w:r w:rsidRPr="00C8397D">
        <w:rPr>
          <w:rFonts w:ascii="Times New Roman" w:hAnsi="Times New Roman"/>
          <w:sz w:val="28"/>
          <w:szCs w:val="28"/>
          <w:lang w:val="ru-RU"/>
        </w:rPr>
        <w:t xml:space="preserve"> була основана 1996 році та розташована у четерьох поверховій будівлі на вул. Воровського. Компанія виступає організатором національних та міжнародних виставок, конференцій, презентацій та ділових форумів. Основними виставками організованими компанією «ВнешЕкспоБізнес» є «Охорона Здоров’я», «Інформаційні технології», «ІСПЕК» (виставка спеціалізованої техніки), LaborTech та інші. «ВнешЕкспоБізнес» також була організатором національних виставок на міжнародних виставочних майданах у таких містах як Ганновер, Дубай, Москва та інші.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«Український дім»</w:t>
      </w:r>
      <w:r w:rsidRPr="00C8397D">
        <w:rPr>
          <w:rFonts w:ascii="Times New Roman" w:hAnsi="Times New Roman"/>
          <w:sz w:val="28"/>
          <w:szCs w:val="28"/>
          <w:lang w:val="ru-RU"/>
        </w:rPr>
        <w:t xml:space="preserve"> є відомим виставковим центром в Києві, який розташований в центрі ділового та культурного життя Києва - на головній вулиці міста - Хрещатик, поруч з метро Майдан Незалежності, біля </w:t>
      </w:r>
      <w:r w:rsidRPr="00C8397D">
        <w:rPr>
          <w:rFonts w:ascii="Times New Roman" w:hAnsi="Times New Roman"/>
          <w:sz w:val="28"/>
          <w:szCs w:val="28"/>
          <w:lang w:val="ru-RU"/>
        </w:rPr>
        <w:lastRenderedPageBreak/>
        <w:t>Європейської площі.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Загальна площа виставкового центру «Український дім» складає приблизно 8 850 кв.м. Виставковий центр є містом проведення форумів, виставок, фестивалів, концертів, аукціонів та інших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Головна зала «Українського Дому» має місткість приблизно 300 – 400 місць, в той час як дві інші розташовують 477 та 200 чоловік. На початку 2012 року було прийнято рішення про реновації виставкового центру «Український дім» метою підвищити стандарти обслуговування міжнародних конференцій та інших високопоставлених заходів. Планується, що реконструкція буле розпочата у кінці 2012 року, та буде тривати протягом двох років.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Виставковий центр ACCO International</w:t>
      </w:r>
      <w:r w:rsidRPr="00C8397D">
        <w:rPr>
          <w:rFonts w:ascii="Times New Roman" w:hAnsi="Times New Roman"/>
          <w:sz w:val="28"/>
          <w:szCs w:val="28"/>
          <w:lang w:val="ru-RU"/>
        </w:rPr>
        <w:t xml:space="preserve"> був заснований у 1992 році, та з того часу провів більше ніж 210 виставок. Виставковий центр розташований у парку Пушкіна, біля станції метро «Шулявська». Площа павільйонів виставкового центр складає приблизно 2 600 кв.м, та має відкриту виставкову територію близько 1 800 кв.м. Виставковий центр має 2 конференц-зали з міскістью близько 100 місць кожний.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Кожного року виставковий центр проводить близько 15 спеціалізованих виставок. Виставковий центр ACCO International є членом «Всесвітньої асоціації виставкової індустрії» (UFI), «Виставкової федерації України» (ВФУ) та «Української Торгової Палати. </w:t>
      </w:r>
      <w:r w:rsidRPr="00C8397D">
        <w:rPr>
          <w:rFonts w:ascii="Times New Roman" w:hAnsi="Times New Roman"/>
          <w:sz w:val="28"/>
          <w:szCs w:val="28"/>
        </w:rPr>
        <w:t>ACCO</w:t>
      </w:r>
      <w:r w:rsidRPr="00C8397D">
        <w:rPr>
          <w:rFonts w:ascii="Times New Roman" w:hAnsi="Times New Roman"/>
          <w:sz w:val="28"/>
          <w:szCs w:val="28"/>
          <w:lang w:val="ru-RU"/>
        </w:rPr>
        <w:t xml:space="preserve"> </w:t>
      </w:r>
      <w:r w:rsidRPr="00C8397D">
        <w:rPr>
          <w:rFonts w:ascii="Times New Roman" w:hAnsi="Times New Roman"/>
          <w:sz w:val="28"/>
          <w:szCs w:val="28"/>
        </w:rPr>
        <w:t>International</w:t>
      </w:r>
      <w:r w:rsidRPr="00C8397D">
        <w:rPr>
          <w:rFonts w:ascii="Times New Roman" w:hAnsi="Times New Roman"/>
          <w:sz w:val="28"/>
          <w:szCs w:val="28"/>
          <w:lang w:val="ru-RU"/>
        </w:rPr>
        <w:t xml:space="preserve"> співпрацює з міністерствами,</w:t>
      </w:r>
      <w:r w:rsidRPr="00C8397D">
        <w:rPr>
          <w:rFonts w:ascii="Times New Roman" w:hAnsi="Times New Roman"/>
          <w:sz w:val="28"/>
          <w:szCs w:val="28"/>
          <w:lang w:val="uk-UA"/>
        </w:rPr>
        <w:t xml:space="preserve"> </w:t>
      </w:r>
      <w:r w:rsidRPr="00C8397D">
        <w:rPr>
          <w:rFonts w:ascii="Times New Roman" w:hAnsi="Times New Roman"/>
          <w:sz w:val="28"/>
          <w:szCs w:val="28"/>
          <w:lang w:val="ru-RU"/>
        </w:rPr>
        <w:t>державними органами України, асоціаціями та виставковими організаціями зарубіжних країн,.</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Тенденції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ринку виставкового бізнесу,відмітною рисою Києва та України в загалом від країн Західної Європи є відсутність тенденції що до консолідації їх діяльності. У Європі, наприклад, оператори виставкового бізнесу схиляються до проведення меншої кількості виставок більшого масштабу, що відмінно від ринку виставкової діяльності у Києві, призводить до синергії та більшої ефективності від проведення таких виставок.</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Потенціал та загальна динаміка виставкового бізнесу в Україні багато в чому залежить від розвитку національної економіки країни та негайно реагує на всі її коливання та зміни. Економічний спад спричинив спад у виставковій діяльності в Україні, і тепер цей сектор знаходиться у стані відновлення.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Виставковий бізнес, також залежить від розвитку міжнародної торгівлі країни, так як це може сприяти збільшенню кількості міжнародних ярмарок, конференцій, семінарів та виставок. У ситуації невизначеності у відносинах України з ЄС навряд чи можна очікувати великого зростання кількості міжнародних виставок та ярмарок пов’язаних з цим регіоном.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 даний час виставкові зали у Києві, використаються не тільки для виставок. Власники виставкових центрів так само прагнуть здавати свої виставкові зали в оренду для концертів, корпоративних та інших заходів. Потенціал виставкового ринку в Києві до цих пір вважається нерозкритим.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Організатори виставок, а також власники виставкових центрів стверджують, що державна політика по відношенню до виставкового бізнесу в Україні не надає їм необхідних інструментів для розвитку сектору, а іноді навіть перешкоджає їх росту. Організатори виставок у Києві, також не готові до виходу на світовий ринок виставок, по причині не конкурентоспроможності в порівнянні з такими розвиненими країнами як Німеччина, Франція та Польща.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ВИСНОВКИ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Результати аналізу підтверджують, що ринок конференц-приміщень у Києві залишається незрілим, що є відображенням низьких показників економічного росту та ділової активності, а також слаборозвиненого ринку нерухомості у місті. Київ є лідером України за кількістю проведених конференцій і, до економічної кризи, їх кількість зростала щороку. В той же час, пропозиція високоякісних конференц-приміщень середнього та великого розмірів залишається обмеженою у столиці України, а ставки на їх оренду є вищими порівняно з іншими країнами Центральної та Східної Європи.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Компанії, що бажають організувати конференцію у Києві, роблять це </w:t>
      </w:r>
      <w:r w:rsidRPr="00C8397D">
        <w:rPr>
          <w:rFonts w:ascii="Times New Roman" w:hAnsi="Times New Roman"/>
          <w:sz w:val="28"/>
          <w:szCs w:val="28"/>
          <w:lang w:val="ru-RU"/>
        </w:rPr>
        <w:lastRenderedPageBreak/>
        <w:t>своїми силами або ж винаймають спеціалістів з агентств у сфері організації корпоративних заходів. Існує багато подібних агентств, а також бюро перекладів та туристичних агенцій, які займаються організацією конференцій. Вартість послуг з організації конференцій залежить від типу конференцій, а також від репутації агенції, що займається їх організацією. Комісійні таких агентств складають близько 10-15% від загальної вартості конференц-послуг.</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Вибір місця проведення конференції у Києві залежить в основному від її головної мети, теми, розміру та бюджету. Найпопулярнішим місцем є конфенерц-холи готелів. Вони мають багато переваг порівняно з іншими категоріями приміщень, як то наприклад, можливість забезпечити учасників конференції проживанням, краща інфраструктура та банкетний сервіс. Вартість оренди таких приміщень залежить від їх якості та статусу. Найбільша вартість спостерігається у готелях класу «люкс» (Hyatt Regency, «Прем’єр Палац», Intercontinental та Fairmont Grand Hotel), а також готелях вищої та середньої цінової категорії (особливо готелях радянських часів). Все більшої популярності у Києві набувають заміські готелі завдяки нижчим цінам на їх конференц-приміщення та можливості проведення різноманітних заходів на свіжому повітрі.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Крупномасшабні конференції також проводяться у виставкових центрах, хоча якість їх приміщень є нижчою, ніж у готелях, а інфраструктура та місцезнаходження часто не можуть задовольнити вибагливих клієнтів. Конференц-зали у таких виставкових центрах як «Київ Експо Плаза» та Міжнародний виставковий центр розкидані по усій території центрів, а наявність шуму у них може перешкодити успішному проведенню конференції.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Ще одним місцем проведення конференцій є бізнес центри. Однак, конференційні приміщення в них зазвичай використовуються корпоративними клієнтами для презентацій продукції, семінарів та ділових зустрічей, а не проведення конференцій.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Іншими закладами, що пропонують приміщення для конференцій, є адміністративні будівлі, приватні підприємства та університети. При виборі цих приміщень організатори мають також окремо забезпечити банкетний сервіс та інші додаткові послуги. У цій категорії найпопулярнішими закладами у Києві є «Український Дім», який часто використовується для міжнародних конференцій, Національний спортивний комплекс «Олімпійський», Національна академія наук України, Торгово-промислова палата України, а також концерт-холи Freedom та «Оазис».</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Івент-агентства як гравці ринку про сегмент MICE в Києві</w:t>
      </w:r>
    </w:p>
    <w:p w:rsidR="00192005" w:rsidRPr="00C8397D" w:rsidRDefault="00192005" w:rsidP="0019200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Володимир Дегтярьов, Генеральний Директор Newsfront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w:t>
      </w:r>
      <w:r w:rsidRPr="00C8397D">
        <w:rPr>
          <w:rFonts w:ascii="Times New Roman" w:hAnsi="Times New Roman"/>
          <w:sz w:val="28"/>
          <w:szCs w:val="28"/>
          <w:lang w:val="ru-RU"/>
        </w:rPr>
        <w:tab/>
        <w:t>Чи задовольняють існуючі конференц-приміщення потреби організаторів конференцій та інших подібних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Якщо це конференц-приміщення п’ятизіркових готелів, то дійсно потреби і організатора, і клієнта будуть задоволені, бо структура сервісу передбачає максимальну якість послуг і комфорт для споживачів. За минуле півріччя у нашій співпраці з локаціями була помітна тенденція значних поступок у цінах, тільки щоб клієнт "залишився" в них. Імовірніше, що на це впливає тривалість співробітництва з клієнтом. Головним критерієм проведення успішного заходу я вважаю персонал, який працює з організаторами, наскільки він клієнт орієнтований, наскільки готовий надати максимально якісні послуги. Навіть віддаленість конференц-залу від метро у нашій практиці вирішувалась трансфером від локації на бонусній основі. Таким чином, сервіс, який отримує компанія від такого готелю, відповідає вартості обслуговування. Втім, часто ми відчуваємо брак локацій - основні конференц-майданчики часто заброньовані на місяці наперед - це особливо стосується 4- та 5-зіркових готелей.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2.</w:t>
      </w:r>
      <w:r w:rsidRPr="00C8397D">
        <w:rPr>
          <w:rFonts w:ascii="Times New Roman" w:hAnsi="Times New Roman"/>
          <w:sz w:val="28"/>
          <w:szCs w:val="28"/>
          <w:lang w:val="ru-RU"/>
        </w:rPr>
        <w:tab/>
        <w:t>Яких приміщень не вистачає (площа, характеристики, розташування (готелі, бізнес центри, виставкові центри, інші, т.д.)?</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Згідно типам заходів, які ми проводили на протязі минулого і в цьому році, не вистачає універсальних і мобільних приміщень для проведень </w:t>
      </w:r>
      <w:r w:rsidRPr="00C8397D">
        <w:rPr>
          <w:rFonts w:ascii="Times New Roman" w:hAnsi="Times New Roman"/>
          <w:sz w:val="28"/>
          <w:szCs w:val="28"/>
          <w:lang w:val="ru-RU"/>
        </w:rPr>
        <w:lastRenderedPageBreak/>
        <w:t>кулінарних майстер-класів з відкритою кухнею (новий тренд на ринку подій). Є лише ресторани і 1-2 концепта, що не настільки відповідають усім вимогам. Є також потреба в якихось оригінальних локаціях для проведення презентацій на 20-30 людей зі зручним розміщенням і окремим входом, можливістю чимось дивувати: інтер’єр, краєвид чи то концепція місця. Останнім часом виникають нові формати заходів, які вимагають менш "формальної" обстановки - бізнес-сніданки (</w:t>
      </w:r>
      <w:hyperlink r:id="rId33" w:history="1">
        <w:r w:rsidRPr="00C8397D">
          <w:rPr>
            <w:rStyle w:val="a4"/>
            <w:rFonts w:ascii="Times New Roman" w:hAnsi="Times New Roman"/>
            <w:color w:val="auto"/>
            <w:sz w:val="28"/>
            <w:szCs w:val="28"/>
            <w:lang w:val="ru-RU"/>
          </w:rPr>
          <w:t>http://www.comman.com.ua/article/46/</w:t>
        </w:r>
      </w:hyperlink>
      <w:r w:rsidRPr="00C8397D">
        <w:rPr>
          <w:rFonts w:ascii="Times New Roman" w:hAnsi="Times New Roman"/>
          <w:sz w:val="28"/>
          <w:szCs w:val="28"/>
          <w:lang w:val="ru-RU"/>
        </w:rPr>
        <w:t xml:space="preserve"> або </w:t>
      </w:r>
      <w:hyperlink r:id="rId34" w:history="1">
        <w:r w:rsidRPr="00C8397D">
          <w:rPr>
            <w:rStyle w:val="a4"/>
            <w:rFonts w:ascii="Times New Roman" w:hAnsi="Times New Roman"/>
            <w:color w:val="auto"/>
            <w:sz w:val="28"/>
            <w:szCs w:val="28"/>
            <w:lang w:val="ru-RU"/>
          </w:rPr>
          <w:t>http://www.the-</w:t>
        </w:r>
        <w:r w:rsidRPr="00C8397D">
          <w:rPr>
            <w:rStyle w:val="a4"/>
            <w:rFonts w:ascii="Times New Roman" w:hAnsi="Times New Roman"/>
            <w:color w:val="auto"/>
            <w:sz w:val="28"/>
            <w:szCs w:val="28"/>
          </w:rPr>
          <w:t>village</w:t>
        </w:r>
        <w:r w:rsidRPr="00C8397D">
          <w:rPr>
            <w:rStyle w:val="a4"/>
            <w:rFonts w:ascii="Times New Roman" w:hAnsi="Times New Roman"/>
            <w:color w:val="auto"/>
            <w:sz w:val="28"/>
            <w:szCs w:val="28"/>
            <w:lang w:val="ru-RU"/>
          </w:rPr>
          <w:t>.</w:t>
        </w:r>
        <w:r w:rsidRPr="00C8397D">
          <w:rPr>
            <w:rStyle w:val="a4"/>
            <w:rFonts w:ascii="Times New Roman" w:hAnsi="Times New Roman"/>
            <w:color w:val="auto"/>
            <w:sz w:val="28"/>
            <w:szCs w:val="28"/>
          </w:rPr>
          <w:t>ru</w:t>
        </w:r>
        <w:r w:rsidRPr="00C8397D">
          <w:rPr>
            <w:rStyle w:val="a4"/>
            <w:rFonts w:ascii="Times New Roman" w:hAnsi="Times New Roman"/>
            <w:color w:val="auto"/>
            <w:sz w:val="28"/>
            <w:szCs w:val="28"/>
            <w:lang w:val="ru-RU"/>
          </w:rPr>
          <w:t>/</w:t>
        </w:r>
        <w:r w:rsidRPr="00C8397D">
          <w:rPr>
            <w:rStyle w:val="a4"/>
            <w:rFonts w:ascii="Times New Roman" w:hAnsi="Times New Roman"/>
            <w:color w:val="auto"/>
            <w:sz w:val="28"/>
            <w:szCs w:val="28"/>
          </w:rPr>
          <w:t>cities</w:t>
        </w:r>
        <w:r w:rsidRPr="00C8397D">
          <w:rPr>
            <w:rStyle w:val="a4"/>
            <w:rFonts w:ascii="Times New Roman" w:hAnsi="Times New Roman"/>
            <w:color w:val="auto"/>
            <w:sz w:val="28"/>
            <w:szCs w:val="28"/>
            <w:lang w:val="ru-RU"/>
          </w:rPr>
          <w:t>/</w:t>
        </w:r>
        <w:r w:rsidRPr="00C8397D">
          <w:rPr>
            <w:rStyle w:val="a4"/>
            <w:rFonts w:ascii="Times New Roman" w:hAnsi="Times New Roman"/>
            <w:color w:val="auto"/>
            <w:sz w:val="28"/>
            <w:szCs w:val="28"/>
          </w:rPr>
          <w:t>kiev</w:t>
        </w:r>
        <w:r w:rsidRPr="00C8397D">
          <w:rPr>
            <w:rStyle w:val="a4"/>
            <w:rFonts w:ascii="Times New Roman" w:hAnsi="Times New Roman"/>
            <w:color w:val="auto"/>
            <w:sz w:val="28"/>
            <w:szCs w:val="28"/>
            <w:lang w:val="ru-RU"/>
          </w:rPr>
          <w:t>/</w:t>
        </w:r>
        <w:r w:rsidRPr="00C8397D">
          <w:rPr>
            <w:rStyle w:val="a4"/>
            <w:rFonts w:ascii="Times New Roman" w:hAnsi="Times New Roman"/>
            <w:color w:val="auto"/>
            <w:sz w:val="28"/>
            <w:szCs w:val="28"/>
          </w:rPr>
          <w:t>events</w:t>
        </w:r>
        <w:r w:rsidRPr="00C8397D">
          <w:rPr>
            <w:rStyle w:val="a4"/>
            <w:rFonts w:ascii="Times New Roman" w:hAnsi="Times New Roman"/>
            <w:color w:val="auto"/>
            <w:sz w:val="28"/>
            <w:szCs w:val="28"/>
            <w:lang w:val="ru-RU"/>
          </w:rPr>
          <w:t>/1249-</w:t>
        </w:r>
        <w:r w:rsidRPr="00C8397D">
          <w:rPr>
            <w:rStyle w:val="a4"/>
            <w:rFonts w:ascii="Times New Roman" w:hAnsi="Times New Roman"/>
            <w:color w:val="auto"/>
            <w:sz w:val="28"/>
            <w:szCs w:val="28"/>
          </w:rPr>
          <w:t>idea</w:t>
        </w:r>
        <w:r w:rsidRPr="00C8397D">
          <w:rPr>
            <w:rStyle w:val="a4"/>
            <w:rFonts w:ascii="Times New Roman" w:hAnsi="Times New Roman"/>
            <w:color w:val="auto"/>
            <w:sz w:val="28"/>
            <w:szCs w:val="28"/>
            <w:lang w:val="ru-RU"/>
          </w:rPr>
          <w:t>-</w:t>
        </w:r>
        <w:r w:rsidRPr="00C8397D">
          <w:rPr>
            <w:rStyle w:val="a4"/>
            <w:rFonts w:ascii="Times New Roman" w:hAnsi="Times New Roman"/>
            <w:color w:val="auto"/>
            <w:sz w:val="28"/>
            <w:szCs w:val="28"/>
          </w:rPr>
          <w:t>breakfast</w:t>
        </w:r>
      </w:hyperlink>
      <w:r w:rsidRPr="00C8397D">
        <w:rPr>
          <w:rFonts w:ascii="Times New Roman" w:hAnsi="Times New Roman"/>
          <w:sz w:val="28"/>
          <w:szCs w:val="28"/>
          <w:lang w:val="ru-RU"/>
        </w:rPr>
        <w:t>), галузеві зустрічі тощо. Бракує великих центрів (виставкових центрів, тощо), які змогли б надати приміщення для масштабних заходів (від 1 тис осіб) та водночас мали б гармонійний та сучасний вигляд.</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3.</w:t>
      </w:r>
      <w:r w:rsidRPr="00C8397D">
        <w:rPr>
          <w:rFonts w:ascii="Times New Roman" w:hAnsi="Times New Roman"/>
          <w:sz w:val="28"/>
          <w:szCs w:val="28"/>
          <w:lang w:val="ru-RU"/>
        </w:rPr>
        <w:tab/>
        <w:t>Хто найбільші кінцеві користувачі конференц-послуг (приміщень)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 Міжнародні компанії, що організовують корпоративні заходи, дилерські конференції, презентації та освітньо-навчальні програми для працівників. 2) Організатори незалежних конференцій та семінарів (напр, Conference House). 3) Агенції-посередники, які надають маркетингові послуги та від імені клієнтів організовують презентації, семінари, конференції.</w:t>
      </w:r>
    </w:p>
    <w:p w:rsidR="00192005" w:rsidRPr="00C8397D" w:rsidRDefault="00192005" w:rsidP="0019200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Олексій Саква, Виконавчий директор Business Summit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 Чи задовольняють існуючі конференц-приміщення потреби організаторів конференцій та інших подібних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Звичайно ні. Мало якісних приміщень середнього цінового класу з можливістю розміщення понад 100 делегатів.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2. Яких приміщень не вистачає (площа, характеристики, розташування) (готелі, бізнес центри, виставкові центри, інші, т.д.)?</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Вища цінова категорія, великі конференц-зали (від 120 чоловік) - ОК. Є великі конференц-зали в готелях InterContinental, Hyatt, Fairmont. Коштує ДОРОГО.</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Середня цінова категорія, зали від 120 осіб - все погано. Русь, Президент Готель і все. Пострадянські зали та колишні кінотеатри в розрахунок брати не будемо. Дуже мало конференц-залів у бізнес-центрах, якщо є зал - то як правило до 100 чоловік. Залів на 50-70 чоловік - в достатній кількості, за ціновим рівнем можна вибрати, якщо поїздити і подивитися.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Резюме: мало якісних залів для ділових заходів місткістю більше 100 осіб.</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3. Хто самі кінцеві користувачі конференц-послуг (приміщень)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А) приватні та державні компанії, асоціації - замовники своїх корпоративних івентів – це наймасовіший тип замовників </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 івент-компанії (професійні організатори ділових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 професійні спілки та організації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4. Можливо, Ви можете щось сказати про перспективи ринку конференцій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Дефіциту подій не спостерігається, але в деяких галузях ділові заходи не проводяться взагалі (воліють участь у виставках)</w:t>
      </w:r>
    </w:p>
    <w:p w:rsidR="00192005" w:rsidRPr="00C8397D" w:rsidRDefault="00192005" w:rsidP="0019200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Артем Шлапак, Директор з розвитку Meeting Point</w:t>
      </w:r>
    </w:p>
    <w:p w:rsidR="00192005" w:rsidRPr="00C8397D" w:rsidRDefault="00192005" w:rsidP="00192005">
      <w:pPr>
        <w:spacing w:after="0" w:line="360" w:lineRule="auto"/>
        <w:ind w:firstLine="709"/>
        <w:jc w:val="both"/>
        <w:rPr>
          <w:rFonts w:ascii="Times New Roman" w:hAnsi="Times New Roman"/>
          <w:sz w:val="28"/>
          <w:szCs w:val="28"/>
          <w:lang w:val="ru-RU"/>
        </w:rPr>
      </w:pP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w:t>
      </w:r>
      <w:r w:rsidRPr="00C8397D">
        <w:rPr>
          <w:rFonts w:ascii="Times New Roman" w:hAnsi="Times New Roman"/>
          <w:sz w:val="28"/>
          <w:szCs w:val="28"/>
          <w:lang w:val="ru-RU"/>
        </w:rPr>
        <w:tab/>
        <w:t>Чи задовольняють існуючі конференц-приміщення потреби організаторів конференцій та інших подібних заходів?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жаль, існуюча пропозиція конференц-приміщень в Києві не зовсім задовольняє нас як оператора ділових бізнес-заходів. На відміну від більшості світових столиць, в центральній частині Києва існує дефіцит якісних сучасних конференц-залів, які б поєднували нормальний сервіс (ввічливий клієнт-орієнтований персонал, якісний кейтеринг, сучасний та презентабельний зовнішній вигляд залів, прийнятні ціни за оренду і необхідні сучасній бізнес-аудиторії додаткові безкоштовні сервіси - Wi-Fi, конференц-набори (ручка, блокнот) і т.п. В даний момент конференц-зали Києва можна поділити на 2 основні групи: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недорога вартість оренди, але дуже погана якість залу з низьким </w:t>
      </w:r>
      <w:r w:rsidRPr="00C8397D">
        <w:rPr>
          <w:rFonts w:ascii="Times New Roman" w:hAnsi="Times New Roman"/>
          <w:sz w:val="28"/>
          <w:szCs w:val="28"/>
          <w:lang w:val="ru-RU"/>
        </w:rPr>
        <w:lastRenderedPageBreak/>
        <w:t>рівнем комфорту і сервісу для відвідувачів / учасників / делегатів;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дуже дорога вартість оренди залів, але і відповідно, в більшості випадків, приємний сервіс.</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Для більшості бізнес-заходів потрібні зали, які б відповідали нормальним європейським стандартам якості і коштували б розумні гроші. Зовсім немає сенсу учасникам переплачувати за надмірну розкіш (позолоту, тканинні шпалери, срібні ложки і т.п.).</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2. Яких приміщень не вистачає (площа, характеристики, розташування (готелі, бізнес центри, виставкові центри, інші, т.д.)?</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 вистачає приміщень розрахованих на розсадження класом 100 - 150 осі (100-200 кв.м)., також на 500-700 чол. (700-1000 кв.м.) Якісних конференц-приміщень в бізнес-центрах і виставкових центрах практично не існує. Я поки ще не бачив конференц-залу у новому БЦ «101 TOWER» на вул. Льва Толстого (девелопер «КАН Девелопмент»).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3. Можливо, Ви можете щось сказати про перспективи ринку конференцій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досить насичений.</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3.2.1.4. Ринок торгівельної нерухомості Києва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Основні показники попиту, тенденції та прогнози; пропозиція, тенденції та прогнози, а також показники ефективності сектора торгівельної нерухомості Києва наведені нижче.</w:t>
      </w:r>
    </w:p>
    <w:p w:rsidR="00192005" w:rsidRPr="00C8397D" w:rsidRDefault="00192005" w:rsidP="00192005">
      <w:pPr>
        <w:numPr>
          <w:ilvl w:val="1"/>
          <w:numId w:val="18"/>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Порівняно з іншими секторами комерційної нерухомості торгівельний сектор виявився найбільш стійким до впливу наслідків економічної кризи у 2008/2009 роках.</w:t>
      </w:r>
    </w:p>
    <w:p w:rsidR="00192005" w:rsidRPr="00C8397D" w:rsidRDefault="00192005" w:rsidP="00192005">
      <w:pPr>
        <w:numPr>
          <w:ilvl w:val="1"/>
          <w:numId w:val="18"/>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затяжну економічну кризу та порівняно низький рівень доходів населення, потенціал ринку торгівельної нерухомості України, та зокрема Києва, залишається беззаперечно високим завдяки достатньо невисокої якості та обмеженості форматів існуючих об’єктів торгівельної нерухомості, великій території країни, високій густоті населення, його бренд-орієнтованості та схильності до витрат.</w:t>
      </w:r>
    </w:p>
    <w:p w:rsidR="00192005" w:rsidRPr="00C8397D" w:rsidRDefault="00192005" w:rsidP="00192005">
      <w:pPr>
        <w:numPr>
          <w:ilvl w:val="1"/>
          <w:numId w:val="18"/>
        </w:numPr>
        <w:tabs>
          <w:tab w:val="left" w:pos="1080"/>
          <w:tab w:val="left" w:pos="126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Більшість девелоперів та інвесторів, активних на українському ринку, надають перевагу сектору торгівельної нерухомості, зокрема у Києві та найбільшим містам з численністю населення понад 750 000 жителів. Так, Київ, Дніпропетровськ, Одеса, Харків, Донецьк та Львів е найбільш привабливими зогляду зацікавленості з боку основних торгівельних операторів, девелоперів та інвесторів.</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Пропозиція</w:t>
      </w:r>
    </w:p>
    <w:p w:rsidR="00192005" w:rsidRPr="00C8397D" w:rsidRDefault="00192005" w:rsidP="00192005">
      <w:pPr>
        <w:numPr>
          <w:ilvl w:val="1"/>
          <w:numId w:val="21"/>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Станом на травень 2012 Київ відзначався найбільшим об’ємом сучасних торгівельних приміщень, що складає 1 001 400 кв.м. (ЗОП). Беручи до уваги дні офіційної статистики щодо численності населення Києва, насиченість торгівельною нерухомістю Києва зареєстрована на рівні 359 кв.м. сучасних торгівельних приміщень (ЗОП) на 1000 жителів. Цей показник включає основні торгівельні об’єкти загальної орендною площею від 5000 кв.м. (в тому числі торгівельні центри з великою кількістю орендарів та об’єкти з одним торгівельним оператором – «big box»), та вказує на значну не недостатність торгівельного простору в столиці України, особливо враховуючи відношення офіційних даних щодо кількості населення у порівнянні з неофіційними, а також наявність факту «сірих заробітних плат».</w:t>
      </w:r>
    </w:p>
    <w:p w:rsidR="00192005" w:rsidRPr="00C8397D" w:rsidRDefault="00192005" w:rsidP="00192005">
      <w:pPr>
        <w:numPr>
          <w:ilvl w:val="1"/>
          <w:numId w:val="21"/>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Говорячи про якість торгівельної нерухомості у Києві та інших основних містах, слід зазначити, що існуючі об’єкти представлені у більшості випадків торгівельними центрами першої генерації за рідким винятком дійсно якісних проектів торгівельної нерухомості. Формати торгівельних парків (retail parks) та стокових торгівельних центрів (fashion /factory outlets) взагалі відсутні на ринку країни.</w:t>
      </w:r>
    </w:p>
    <w:p w:rsidR="00192005" w:rsidRPr="00C8397D" w:rsidRDefault="00192005" w:rsidP="00192005">
      <w:pPr>
        <w:numPr>
          <w:ilvl w:val="1"/>
          <w:numId w:val="21"/>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Незважаючи на те, що протягом 2011 та першого кварталу 2012 років на ринок була виведена досить низька кількість торгівельної площі, наступні 3 квартали 2012 року та 2013 рік очікують на значне збільшення пропозиції у торгівельному секторі. У 2012 році об’єм нової пропозиції торгівельної нерухомості прогнозується на рівні 211 000 кв.м. (ЗОП), що збільшить існуючий показник на 23%. Приблизно 225 600 кв.м. (ЗОП) </w:t>
      </w:r>
      <w:r w:rsidRPr="00C8397D">
        <w:rPr>
          <w:rFonts w:ascii="Times New Roman" w:hAnsi="Times New Roman"/>
          <w:sz w:val="28"/>
          <w:szCs w:val="28"/>
          <w:lang w:val="ru-RU"/>
        </w:rPr>
        <w:lastRenderedPageBreak/>
        <w:t>очікується протягом 2013 року, та додатково приблизно 296 400 кв.м. (ЗОП) торгівельної нерухомості у 2014-2015 роках.</w:t>
      </w:r>
    </w:p>
    <w:p w:rsidR="00192005" w:rsidRPr="00C8397D" w:rsidRDefault="00192005" w:rsidP="00192005">
      <w:pPr>
        <w:numPr>
          <w:ilvl w:val="1"/>
          <w:numId w:val="21"/>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Історично торгівельні центри першої генерації розташовані здебільшого у центральній части Києва, за винятком невеликої кількості об’єктів за її межами на периферії у північній та східній частині міста, і з часом ринок торгівельної нерухомості перемістився до віддалених спальних районів міста, де уже на цей час існують та будуються торгівельні об’єкти вищого рівня та якості.</w:t>
      </w:r>
    </w:p>
    <w:p w:rsidR="00192005" w:rsidRPr="00C8397D" w:rsidRDefault="00192005" w:rsidP="00192005">
      <w:pPr>
        <w:numPr>
          <w:ilvl w:val="1"/>
          <w:numId w:val="21"/>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У межах Києва торгівельна діяльність історично сформувалась на найбільш жвавих центральних вулицях міста, а також у густонаселених спальних районах, зокрема у безпосередній близькості до станцій метро.</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Попит</w:t>
      </w:r>
    </w:p>
    <w:p w:rsidR="00192005" w:rsidRPr="00C8397D" w:rsidRDefault="00192005" w:rsidP="00192005">
      <w:pPr>
        <w:numPr>
          <w:ilvl w:val="1"/>
          <w:numId w:val="2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Київ залишається найбільш привабливим для всіх торгівельних мереж, що присутні в Україні, та тільки розглядають входження на ринок. Рівень вакантності у в найбільш популярних та добре розташованих і якісних торгівельних центрах повернувся до докризових показників, починаючи з першої половини 2011 року, та залишався низьким протягом періоду липень 2011 - червень 2012.</w:t>
      </w:r>
    </w:p>
    <w:p w:rsidR="00192005" w:rsidRPr="00C8397D" w:rsidRDefault="00192005" w:rsidP="00192005">
      <w:pPr>
        <w:numPr>
          <w:ilvl w:val="1"/>
          <w:numId w:val="2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Декілька нових торгівельних брендів увійшли на ринок України у 2011 – 1ій половині 2012 року. Станом на червень 2012 року в Україні нараховується близько 650 брендів торгівельних мереж, переважна більшість яких представлена через франчайзингові компанії. Відсутність достатнього об’єму якісних торгівельних приміщень взагалі на ринку України, а також сприйняття політики та економіки як нестабільної, стримує велику кількість основних міжнародних торгівельних мереж від виходу на український ринок.</w:t>
      </w:r>
    </w:p>
    <w:p w:rsidR="00192005" w:rsidRPr="00C8397D" w:rsidRDefault="00192005" w:rsidP="00192005">
      <w:pPr>
        <w:numPr>
          <w:ilvl w:val="1"/>
          <w:numId w:val="2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Крупно-форматні торгівельні мережі («Big box»), що мають достатнє фінансування, продовжували інтенсивний розвиток протягом 2011 та першого кварталу 2012 року, використовуючи тим самим невикористаний потенціал українського ринку та можливість освоєння земельних ділянок за прийнятними цінами. Велика кількість операторів продуктових гіпермаркетів </w:t>
      </w:r>
      <w:r w:rsidRPr="00C8397D">
        <w:rPr>
          <w:rFonts w:ascii="Times New Roman" w:hAnsi="Times New Roman"/>
          <w:sz w:val="28"/>
          <w:szCs w:val="28"/>
          <w:lang w:val="ru-RU"/>
        </w:rPr>
        <w:lastRenderedPageBreak/>
        <w:t>та супермаркетів, а також мережі побутової техніки та електроніки розглядають входження у торгівельні об’єкти як у Києві, так і основних містах з населенням понад 750 000 жителів, а також і у менших містах.</w:t>
      </w:r>
    </w:p>
    <w:p w:rsidR="00192005" w:rsidRPr="00C8397D" w:rsidRDefault="00192005" w:rsidP="00192005">
      <w:pPr>
        <w:numPr>
          <w:ilvl w:val="1"/>
          <w:numId w:val="24"/>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Найбільш якісні торгівельні оператори є дуже вимогливими у виборі приміщень для розташування у торгівельних об’єктах, а також досить категоричні щодо комерційних умов оренди.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Орендні ставки</w:t>
      </w:r>
    </w:p>
    <w:p w:rsidR="00192005" w:rsidRPr="00C8397D" w:rsidRDefault="00192005" w:rsidP="00192005">
      <w:pPr>
        <w:numPr>
          <w:ilvl w:val="1"/>
          <w:numId w:val="27"/>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Завдяки високому попиту та дефіциту якісних торгівельних приміщень орендні ставки у період до кризи 2008/2009 років постійно зростали в успішних торгівельних центрах Києва та основних українських міст з населенням понад 700 000 жителів.</w:t>
      </w:r>
    </w:p>
    <w:p w:rsidR="00192005" w:rsidRPr="00C8397D" w:rsidRDefault="00192005" w:rsidP="00192005">
      <w:pPr>
        <w:numPr>
          <w:ilvl w:val="1"/>
          <w:numId w:val="27"/>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У 2009 році під час економічної рецесії, після девальвації гривні та суттєвого зменшення доходів населення знизились об’єми продажу, що стало результатом значного зниження базових орендних ставок у Києві та на території всієї України. Велика кількість торгівельних операторів звернулись до орендодавців з вимогами про зниження фіксованої орендної плати та про запровадження оплати оренди від фактичного товарообігу у процентах на рівні 5-15% в залежності від торгівельної категорії оператора.</w:t>
      </w:r>
    </w:p>
    <w:p w:rsidR="00192005" w:rsidRPr="00C8397D" w:rsidRDefault="00192005" w:rsidP="00192005">
      <w:pPr>
        <w:numPr>
          <w:ilvl w:val="1"/>
          <w:numId w:val="27"/>
        </w:numPr>
        <w:tabs>
          <w:tab w:val="left" w:pos="1080"/>
        </w:tabs>
        <w:spacing w:after="0" w:line="360" w:lineRule="auto"/>
        <w:ind w:left="0" w:firstLine="709"/>
        <w:jc w:val="both"/>
        <w:rPr>
          <w:rFonts w:ascii="Times New Roman" w:hAnsi="Times New Roman"/>
          <w:sz w:val="28"/>
          <w:szCs w:val="28"/>
          <w:lang w:val="ru-RU"/>
        </w:rPr>
      </w:pPr>
      <w:r w:rsidRPr="00C8397D">
        <w:rPr>
          <w:rFonts w:ascii="Times New Roman" w:hAnsi="Times New Roman"/>
          <w:sz w:val="28"/>
          <w:szCs w:val="28"/>
          <w:lang w:val="ru-RU"/>
        </w:rPr>
        <w:t xml:space="preserve">Завдяки збільшенню активності торгівельних операторів та покращенню їх сприйняття потенціалу ринку, протягом першому-третьому кварталі 2011 року було зафіксовано подальший зріст орендних ставок у найбільш якісних торгівельних об’єктах у Києві, а також у торгівельних центрах західноєвропейського рівня, що на цей час уже з’явились у інших найбільших містах. Протягом періоду з жовтня 2011 по березень 2012 року середня орендна ставка у київських торгівельних об’єктах зберігалась на рівні 70-90 долл. США/кв.м./міс. За приміщення площею 100-300 кв.м., досягаючи 160-200 долл. США/кв.м./міс. у найбільш привабливих та успішних торгівельних об’єктах. Подібна динаміка відстежувалась і в інших найбільших містах України з населенням понад 750 000 жителів. Беручи до уваги існуючу динаміку розвитку торгівельних мереж на українському ринку, </w:t>
      </w:r>
      <w:r w:rsidRPr="00C8397D">
        <w:rPr>
          <w:rFonts w:ascii="Times New Roman" w:hAnsi="Times New Roman"/>
          <w:sz w:val="28"/>
          <w:szCs w:val="28"/>
          <w:lang w:val="ru-RU"/>
        </w:rPr>
        <w:lastRenderedPageBreak/>
        <w:t>а також значний об’єм запланованих до реалізації торгівельних об’єктів, не прогнозується значного підвищення рівня базових орендних ставок протягом трьох кварталів 2012 року, що залишились. Це також зумовлено відсутністю активного виходу на ринок нових операторів, а також економічною нестабільністю в Україні і в світі. Довгостроковість існуючого рівня орендних ставок буде залежати від фактичної реалізації та якості нових масштабних проектів торгівельної нерухомості, що заплановані на 2012/2013 роки, а також від загальних макроекономічних показників в Україні. Фактор якості все ще залишається найкритичнішим показником успіху існуючих та запланованих торгівельних об’єктів в Україні.</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Загальний огляд</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відомо високий потенціал українського ринку та зростаючий попит на торгівельні приміщення, ринок торгівельної нерухомості України залишається слабо розвинутим у сенсі європейських стандартів, зокрема зважаючи на його насиченість та різноманітність існуючих форматів торгівельної нерухомості.</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434080" cy="2548890"/>
            <wp:effectExtent l="0" t="0" r="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l="3929" t="48868" r="71094" b="17897"/>
                    <a:stretch>
                      <a:fillRect/>
                    </a:stretch>
                  </pic:blipFill>
                  <pic:spPr bwMode="auto">
                    <a:xfrm>
                      <a:off x="0" y="0"/>
                      <a:ext cx="3434080" cy="2548890"/>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Рисунок 4.3.</w:t>
      </w:r>
      <w:r w:rsidRPr="00C8397D">
        <w:rPr>
          <w:rFonts w:ascii="Times New Roman" w:hAnsi="Times New Roman"/>
          <w:sz w:val="28"/>
          <w:szCs w:val="28"/>
          <w:lang w:val="ru-RU"/>
        </w:rPr>
        <w:t>4.1 - Об'єм ринку торгової нерухомості у великих містах України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дані представлені на кінець року, враховують всі торгові центри та окремо розташовані гіпермаркети / супермаркети орендною площею від 5000 кв.м.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 Показники для Донецька включають торговельну нерухомість, розташовану в місті-сателіті Макіївці.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Виходячи з поточної та перспективної пропозиції за станом на травень 2012 року.</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317240" cy="24028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l="4787" t="35194" r="71094" b="33455"/>
                    <a:stretch>
                      <a:fillRect/>
                    </a:stretch>
                  </pic:blipFill>
                  <pic:spPr bwMode="auto">
                    <a:xfrm>
                      <a:off x="0" y="0"/>
                      <a:ext cx="3317240" cy="240284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4.3.4.2</w:t>
      </w:r>
      <w:r w:rsidRPr="00C8397D">
        <w:rPr>
          <w:rFonts w:ascii="Times New Roman" w:hAnsi="Times New Roman"/>
          <w:sz w:val="28"/>
          <w:szCs w:val="28"/>
          <w:lang w:val="ru-RU"/>
        </w:rPr>
        <w:t xml:space="preserve"> - Насиченість ринку торгової нерухомості у великих містах України та країн Центральної та Східної Європи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дані представлені на кінець року, враховують всі торгові центри та окремо розташовані гіпермаркети / супермаркети орендною площею від 5000 кв.м.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Показники для Донецька включають торговельну нерухомість, розташовану в місті-сателіті Макіївці.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Виходячи з поточної та перспективної пропозиції за станом на травень 2012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Дніпропетровськ, Одеса, Харків, Донецьк та Львів е найбільшими містами України та найбільш привабливими зогляду зацікавленості з боку основних торгівельних операторів, девелоперів та інвесторів.</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травень 2012 року загальний об’єм існуючих сучасних торгівельних приміщень у цих шістьох містах перевищував 2,69 млн кв.м. (ЗОП), що в середньому складає приблизно 336 кв.м. на 1 000 жителів (виходячи з даних офіційної статистики).</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Цей показник враховує всі основні торгівельні центри у містах, загальна орендована площа яких становить або перевищую 5000 кв.м. (в тому </w:t>
      </w:r>
      <w:r w:rsidRPr="00C8397D">
        <w:rPr>
          <w:rFonts w:ascii="Times New Roman" w:hAnsi="Times New Roman"/>
          <w:sz w:val="28"/>
          <w:szCs w:val="28"/>
          <w:lang w:val="ru-RU"/>
        </w:rPr>
        <w:lastRenderedPageBreak/>
        <w:t>числі торгівельні центри з великою кількістю орендарів та об’єкти з одним торгівельним оператором – «big box»).</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травень 2012 року у Києві зафіксовано найбільший об’єм сучасних торгівельних приміщень у розмірі 1 001 400 кв.м. (ЗОП), в той час як найменша кількість торгівельних приміщень зареєстровано у Львові – 206 540 кв.м. (ЗОП). Беручи до уваги офіційну статистику щодо загальної кількості населення найбільших українських міст, найбільша насиченість торгівельними приміщеннями зафіксована в Одесі на рівні 412 кв.м. (ЗОП), а найнижча у Харкові - 231 кв.м. (ЗОП).</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У Києві та найбільших містах України існуючі торгівельні приміщення за якістю в основному представлені у більшості випадків торгівельними центрами першої генерації за рідким винятком дійсно якісних проектів торгівельної нерухомості. Формати торгівельних парків (retail parks) та стокових торгівельних центрів (fashion /factory outlets) ще й досі не присутні на ринку країни.</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Більшість девелоперів та інвесторів, активних на українському ринку, надають перевагу сектору торгівельної нерухомості серед усіх інших секторів, зокрема у Києві та у найбільших містах з численністю населення понад 750 000 жителів.</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Пропозиція торгівельних приміщень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4.3.4.</w:t>
      </w:r>
      <w:r w:rsidRPr="00C8397D">
        <w:rPr>
          <w:rFonts w:ascii="Times New Roman" w:hAnsi="Times New Roman"/>
          <w:sz w:val="28"/>
          <w:szCs w:val="28"/>
          <w:lang w:val="ru-RU"/>
        </w:rPr>
        <w:t>1 - Основні показники ринку торгівельної нерухомості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1138"/>
        <w:gridCol w:w="1137"/>
        <w:gridCol w:w="1138"/>
        <w:gridCol w:w="1137"/>
        <w:gridCol w:w="1336"/>
        <w:gridCol w:w="1336"/>
      </w:tblGrid>
      <w:tr w:rsidR="00192005" w:rsidRPr="00C8397D" w:rsidTr="00BA5963">
        <w:tc>
          <w:tcPr>
            <w:tcW w:w="1795" w:type="dxa"/>
          </w:tcPr>
          <w:p w:rsidR="00192005" w:rsidRPr="00C8397D" w:rsidRDefault="00192005" w:rsidP="00BA5963">
            <w:pPr>
              <w:spacing w:after="0" w:line="360" w:lineRule="auto"/>
              <w:jc w:val="both"/>
              <w:rPr>
                <w:rFonts w:ascii="Times New Roman" w:hAnsi="Times New Roman"/>
                <w:sz w:val="28"/>
                <w:szCs w:val="28"/>
                <w:lang w:val="ru-RU"/>
              </w:rPr>
            </w:pP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2011</w:t>
            </w:r>
          </w:p>
        </w:tc>
        <w:tc>
          <w:tcPr>
            <w:tcW w:w="131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Q1 2012</w:t>
            </w:r>
          </w:p>
        </w:tc>
      </w:tr>
      <w:tr w:rsidR="00192005" w:rsidRPr="00C8397D" w:rsidTr="00BA5963">
        <w:tc>
          <w:tcPr>
            <w:tcW w:w="179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Об</w:t>
            </w:r>
            <w:r w:rsidRPr="00C8397D">
              <w:rPr>
                <w:rFonts w:ascii="Times New Roman" w:hAnsi="Times New Roman"/>
                <w:sz w:val="28"/>
                <w:szCs w:val="28"/>
              </w:rPr>
              <w:t>’</w:t>
            </w:r>
            <w:r w:rsidRPr="00C8397D">
              <w:rPr>
                <w:rFonts w:ascii="Times New Roman" w:hAnsi="Times New Roman"/>
                <w:sz w:val="28"/>
                <w:szCs w:val="28"/>
                <w:lang w:val="uk-UA"/>
              </w:rPr>
              <w:t>єм (кв.м)</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534,185</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347,885</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854,220</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926,320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1,001,400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1,001,400</w:t>
            </w:r>
          </w:p>
        </w:tc>
      </w:tr>
      <w:tr w:rsidR="00192005" w:rsidRPr="00C8397D" w:rsidTr="00BA5963">
        <w:tc>
          <w:tcPr>
            <w:tcW w:w="179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Нові надходження (кв.м)</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89,200</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113,700</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206,335</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72,100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75,080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w:t>
            </w:r>
          </w:p>
        </w:tc>
      </w:tr>
      <w:tr w:rsidR="00192005" w:rsidRPr="00C8397D" w:rsidTr="00BA5963">
        <w:tc>
          <w:tcPr>
            <w:tcW w:w="179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Орендні ставки у найбільш популярних ТЦ / </w:t>
            </w:r>
            <w:r w:rsidRPr="00C8397D">
              <w:rPr>
                <w:rFonts w:ascii="Times New Roman" w:hAnsi="Times New Roman"/>
                <w:sz w:val="28"/>
                <w:szCs w:val="28"/>
                <w:lang w:val="ru-RU"/>
              </w:rPr>
              <w:lastRenderedPageBreak/>
              <w:t>ТРЦ (долл США / кВ.м / місяць)</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180-220</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200-250</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120-150</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160-200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160-200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160-200</w:t>
            </w:r>
          </w:p>
        </w:tc>
      </w:tr>
      <w:tr w:rsidR="00192005" w:rsidRPr="00C8397D" w:rsidTr="00BA5963">
        <w:tc>
          <w:tcPr>
            <w:tcW w:w="179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Орендні ставки на приміщення вздовж найпопулярніших торгівельних коридорів (долл США / кВ.м / місяць)</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300-350</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350-380</w:t>
            </w:r>
          </w:p>
        </w:tc>
        <w:tc>
          <w:tcPr>
            <w:tcW w:w="1287"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100-160</w:t>
            </w:r>
          </w:p>
        </w:tc>
        <w:tc>
          <w:tcPr>
            <w:tcW w:w="1286"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110-220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110-230</w:t>
            </w:r>
          </w:p>
        </w:tc>
        <w:tc>
          <w:tcPr>
            <w:tcW w:w="1315"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110-230</w:t>
            </w:r>
          </w:p>
        </w:tc>
      </w:tr>
    </w:tbl>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Станом на травень 2012 загальний об’єм у Києві сучасних торгівельних приміщень складав 1 001 400 кв.м. (ЗОП), що дорівнює показнику насиченості торгівельною нерухомістю Києва на рівні 359 кв.м. Цей показник включає основні торгівельні об’єкти загальної орендною площею від 5000 кв.м. (в тому числі торгівельні центри з великою кількістю орендарів та об’єкти з одним торгівельним оператором – «big box»), та вказує на значну не недостатність торгівельного простору в столиці України, особливо враховуючи відношення офіційних даних щодо кількості населення у порівнянні з неофіційними, а також наявність факту «сірих заробітних плат».</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891280" cy="2052320"/>
            <wp:effectExtent l="0" t="0" r="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l="9737" t="47360" r="65179" b="29034"/>
                    <a:stretch>
                      <a:fillRect/>
                    </a:stretch>
                  </pic:blipFill>
                  <pic:spPr bwMode="auto">
                    <a:xfrm>
                      <a:off x="0" y="0"/>
                      <a:ext cx="3891280" cy="205232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4.3.4.</w:t>
      </w:r>
      <w:r w:rsidRPr="00C8397D">
        <w:rPr>
          <w:rFonts w:ascii="Times New Roman" w:hAnsi="Times New Roman"/>
          <w:sz w:val="28"/>
          <w:szCs w:val="28"/>
          <w:lang w:val="ru-RU"/>
        </w:rPr>
        <w:t>3 - Об'єм сучасних торговельних приміщень у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До 1994 року торгівельний сектор Києва був представлений лише невеликими державними гастрономами та універмагами радянського типу з незначної кількістю приватних підприємств, що існували на той час. У період </w:t>
      </w:r>
      <w:r w:rsidRPr="00C8397D">
        <w:rPr>
          <w:rFonts w:ascii="Times New Roman" w:hAnsi="Times New Roman"/>
          <w:sz w:val="28"/>
          <w:szCs w:val="28"/>
          <w:lang w:val="ru-RU"/>
        </w:rPr>
        <w:lastRenderedPageBreak/>
        <w:t>між 1994 та 1998 роками розвиток торгівельної нерухомості обмежувався суцільним перетворенням приміщень на центральних вулицях Києва, зокрема на Хрещатику, на магазини.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1999-2000 роках мережа «Квадрат» відкрила три невеликих підземних торгівельних центри та декілька невеликих супермаркетів, де був представлений обмежений асортимент закордонних товарів.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Цей ситуативний розвиток ринку торгівельної нерухомості був продовжений за рік відкриттям декількох супермаркетів більшого формату місцевими інвесторами та австрійським оператором мережі Billa.</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Перший гіпермаркет будівельних матеріалів (DIY) – «Нова Лінія» площею близько 6000 кв.м. – відкрився у Києві у 2001 році.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Перші торгівельний об’єкти «західного типу» почали з’являтися у 2002 році біля та безпоседньо на вулиці Хрещатик. Тут відкрились декілька торгівельних центрів, а саме підземний торгівельний комплекс «Метроград» на кінці Хрещатика та 1 та 2 черги торгівельного центру «Глобус» під Майданом Незалежності. Згодом, у 2007 році ТЦ «Глобус» було продано Європейському інвестору компанії "London &amp; Regional».</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2003 року наступні 116 500 кв.м. (ЗОП) торгівельних приміщень з’явились у Києві. У квітні 2003 року на Бесарабськомму кварталі відкрився елітний торгівельний центр «Мандарін Плаза» як перша черга нового Бесарабського комплексу. Через сукупність факторів, в тому числі затримку у відкритті паркінгу, на початку свого існування об’єкт не досягав запланованого рівня наповненості орендарями та рівня орендних ставок; разом з тим станом на сьогодні торгівельний центр повністю заповнений орендарями та є одним з найпопулярніших об’єктів у Києві. Загалом запланованих 30 000 кв.м. торгівельного комплексу було реалізовано декількома девелоперами показово, та частина приміщень запропоновано під оренду, а чистину для продажу.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Також у 2003 році було виведено третю чергу торгівельного центру «Глобус». Крім того декілька торгівельних об’єктів відкрилось поза межами </w:t>
      </w:r>
      <w:r w:rsidRPr="00C8397D">
        <w:rPr>
          <w:rFonts w:ascii="Times New Roman" w:hAnsi="Times New Roman"/>
          <w:sz w:val="28"/>
          <w:szCs w:val="28"/>
          <w:lang w:val="ru-RU"/>
        </w:rPr>
        <w:lastRenderedPageBreak/>
        <w:t>історичного центру столиці, в тому числі торгівельний центр «Україна» після реставрації на площі Перемоги. У 2006 році цей об’єкт було продано європейському інвестору – компанії «Quinn Group».</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Торгівельний центр «ГородОК» на Петрівці, а також торгівельно-розважальні центри «Ритм» та «Квадрат – Гната Юри» на Борщагівці також були відкриті у 2003 році.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Перший центр гуртової торгівлі Metro Cash &amp; Carry та будівельний гіпермаркет «Епіцентр» відкрились у 2003 році на західній околиці міста.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Рекордна кількість на рівні 166 300 кв.м. приміщень була реалізована у 2004 році, що включала розташовані поза межами центра Києва торгівельно-розважальні центри. Серед них: торгівельний центр «Променада Центр» у північно-західному житловому масиві Києва, торгівельно-розважальний центр «Магелан» на південній околиці міста, стоковий торгівельний центр «Макрос» та торгівельний центр «Альта Центр» на Петрівці, а також торгівельно-розважальний центр «Метрополіс» біля станції метро «Оболонь». Додатково до вищезгаданих у цьому ж році було відкрито торгівельний центр «Піраміда» та перша черга торгівельно-розважального центру «Аладдін» біля станції метро «Позняки» на східному березі Дніпра. Перший найбільший регіональний торгівельно-розважальний центр «Караван Мегастор» за межами центру міста був відкритий двома фазами протягом 2044-2005 років у північній частині Оболонського району міста та став беззаперечно успішним проектом.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Додатково до зазначеного вище у 2004 році відкрився другий центр гуртової торгівлі Metro Cash &amp; Carry та другий будівельний гіпермаркет «Епіцентр» та «нові Лінія» на лівому березі Дніпра, що на той момент уже активно розвивався.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2005 році на ринок Києва було виведено близько 75 000 кв.м. (ЗОП) нових торгівельних приміщень. Серед них другі фази торгівельно-розважальних центрів «Караван Мегастор» та «Аладдін». А восени 2005 року відкрився торгівельний комплекс «Арена» у самому центрі української </w:t>
      </w:r>
      <w:r w:rsidRPr="00C8397D">
        <w:rPr>
          <w:rFonts w:ascii="Times New Roman" w:hAnsi="Times New Roman"/>
          <w:sz w:val="28"/>
          <w:szCs w:val="28"/>
          <w:lang w:val="ru-RU"/>
        </w:rPr>
        <w:lastRenderedPageBreak/>
        <w:t>столиці в рамках Бесарабського комплексу. Однак через незручний пішохідний доступ та концептуальні недоліки об’єкт зазнав труднощів під час залучення орендарів та низький інтерес з боку відвідувачів.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Близько 65% нової пропозиції торгівельних приміщень у 2005 році склали центри оптової торгівлі Metro Cash &amp; Carry та будівельні гіпермаркети (DIY) «Епіцентр» та «Нова Лінія».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значну нестачу якісних приміщень на ринку, у 2006 році було виведено лише 22 000 кв.м. (ЗОП) торгівельних приміщень. У першій половині 2006 року було відкрито тільки торгівельний центр «Глобал.UA» 7 500 кв.м. (ЗОП) на лівому березі Дніпра. А в листопаді цього ж року було виведено 9 000 кв.м. торгівельного центру «Плазма» у складі офісно-торгівельно-розважального комплексу на Петрівці. Також у 2006 році відкрився спеціалізований центр меблів та товарів для домашнього інтер’єру «Меблі. Киянка Нова» у центральному житловому масиві міста Печерськ.</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2007 році, усупереч значному об’єму запланованих проектів торгівельної нерухомості було вивдено на ринок лише 89 200 кв.м. (ЗОП), більшість з яких у форматі невеликих торгівельних центрів. Серед них слід відзначити 18 000 кв.м. (ЗОП) першої черги торгівельно-розважального центру «Sky Mall», де на початку якірним орендарем був гіпермаркет російської мережі «ОКей» та пізніше у листопаді 2009 року замінений гіпермаркетом «Ашан» у зв’язку із припиненням діяльності «ОКей» в Україні.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2007 року також відкрились перші дві черги торгівельно-розважального центру «Більшовик» загальною ЗОП 32 000 кв.м., що був реалізований шляхом реконструкції колишніх виробничих приміщень. Станом на червень 2012 року площа приміщень торгівельно-розважального комплексу «Більшовик» складає понад 36 200 кв.м. (ЗОП), у тому числі льодова ковзанка, боулінг клуб, кінотеатр «Батерфляй Більшовик» та дитячий ігровий майданчик, а також бізнес центр та готель «Космополіт».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Серед інших об’єктів, відкритих у 2007 році, можна зазначити </w:t>
      </w:r>
      <w:r w:rsidRPr="00C8397D">
        <w:rPr>
          <w:rFonts w:ascii="Times New Roman" w:hAnsi="Times New Roman"/>
          <w:sz w:val="28"/>
          <w:szCs w:val="28"/>
          <w:lang w:val="ru-RU"/>
        </w:rPr>
        <w:lastRenderedPageBreak/>
        <w:t>торгівельно-розважальний центр «Комод» близько 10 000 кв.м. (ЗОП) у складі багатофункціонального комплексу на лівому березі Дніпра біля станції метро «Лівобережна», а також друга черга торгівельного центру «Променада». Перша черга торгівельного центру «Материк» площею 16 000 кв.м. (ЗОП) також була відкрита у 2007 році, в жовтні, українською компанією «Rainford» у безпосередній близькості до торгівельно-розважального центру «Більшовик».</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Близько 118 700 кв.м. (ЗОП) нових торгівельних приміщень зявилось на ринку Києва у 2008 році. Основними об’єктами, що біли відкриті, стали торгівельно-розважальний центр «Квадрат-Аврора» (ЗОП 19 100 кв.м.) та «Материк-Осокорки» (ЗОП 18 400 кв.м.), обидва окружного значення та розташовані у густо населених житлових масивах Києва на лівому березі Дніпра. Нові додаткові площі торгівельних центрів «Караван Мегастор» та «Більшовик» також відкрились у 2008 році.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Додатково до вищезазначених у 2008 році відкрився розважально-торгівельний центр «Блокбастер» на Петрівці, одним з якірних орендарів якого став кінотеатр «Мультиплекс» із кінозалом «IMAX», а також кінотеатр 5Д, льодова ковзанка, ролердром, дитячий розважальний центр, більярдний клуб, боулінг, картинг, повітряний парк, фітнес центр, зона ресторанів та фудкорт. Важливо зазначити, що весною 2008 року французький торгівельний оператор «Ашан» відкрив свій перший гіпермаркет в Україні на Петрівці у Києві, що також містив при касову лінію магазинів.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Новим рекордом стало виведення на ринок понад 209 300 кв.м. (ЗОП) торгівельних приміщень у 2009 році. Цей показник включає в себе першу чергу спеціалізованих торгівельних центрів меблів та товарів для дому «Домосфера», «Аракс» та «4Room», а також торгівельний центр «Променада Парк» (якірний орендар «Ашан»), всі розташовані вздовж Кільцевої Дороги. Також у цьому році було відкрито першу чергу торгівельно-розважального центру «Дрім Таун» у густонаселеному масиві Оболонь. 41% нових торгівельних приміщень у 2009 році склали такі окремо збудовані об’єкти як </w:t>
      </w:r>
      <w:r w:rsidRPr="00C8397D">
        <w:rPr>
          <w:rFonts w:ascii="Times New Roman" w:hAnsi="Times New Roman"/>
          <w:sz w:val="28"/>
          <w:szCs w:val="28"/>
          <w:lang w:val="ru-RU"/>
        </w:rPr>
        <w:lastRenderedPageBreak/>
        <w:t>Metro Cash&amp;Carry, «Епіцентр», «Ашан» та «Новус».</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2010 році було відкрито другу чергу торгівельно-розважального центру «Sky Mall», будівельні гіпермаркети (DIY) «Praktiker» ті «Leroy Merlin», загальною орендною площею 72 100 кв.м.. Це був найнижчий показник нової пропозиції торгівельних приміщень на ринку української столиці з 2007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Додаткових 66 300 кв.м. нових торгівельних приміщень було відкрито у Київській області, а сааме торгівельний центр «Модуль» у м. Буча, торгівельно-розважальний центр «Аеро Молл» у Борисполі та торгівельний центр «МегаМаркет» Ходосіївка на Дніпропетровській дорозі (М-04).</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2010 році девелопери та інвестори, як локальні так і закордонні, провели ряд маркетингових досліджень на предмет попиту, конкурентоспроможності та фінансової ефективності їх майбутніх проектів. Така активність відобразила продовження позитивних тенденцій у сегменті торгівельної нерухомості в Україні.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Близько 75 080 кв.м. (ЗОП) нових торгівельних приміщень з’явилось у Києві в 2011 році, серед них: друга черга торгівельно-розважального центру «Дрім Таун» на Оболоні, гіпермаркет «Новус» на Броварському проспекті, та чотири невеликих окружних торгівельних центри – «inSilver» на вул..Срібнокільській, «Квадрат» на вул..Оноре де Бальзака, «Лівобережний» на вул..Марії Расковой та «Вікторіо» на Львівській площі.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першої половини 2012 року на ринок Києва не було виведено жодного об’єкту торгівельної нерухомості.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w:t>
      </w:r>
      <w:r w:rsidRPr="00C8397D">
        <w:rPr>
          <w:rFonts w:ascii="Times New Roman" w:hAnsi="Times New Roman"/>
          <w:sz w:val="28"/>
          <w:szCs w:val="28"/>
          <w:lang w:val="ru-RU"/>
        </w:rPr>
        <w:t xml:space="preserve"> - Основні існуєчі торгівельні та торгово-розважальні центри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2376"/>
        <w:gridCol w:w="2476"/>
        <w:gridCol w:w="2351"/>
      </w:tblGrid>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Обєкт</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Введено в експлуатацію</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Місцезнаходження</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ЗОП</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Dream Town</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2009-2011</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90,860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Sky Mall</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2007-2010</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Ватуніна, 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Караван </w:t>
            </w:r>
            <w:r w:rsidRPr="00C8397D">
              <w:rPr>
                <w:rFonts w:ascii="Times New Roman" w:hAnsi="Times New Roman"/>
                <w:sz w:val="28"/>
                <w:szCs w:val="28"/>
                <w:lang w:val="uk-UA"/>
              </w:rPr>
              <w:lastRenderedPageBreak/>
              <w:t>Мегастор</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2003-2005</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37,690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Більшовик</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2007-2008</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36,200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Променад Центра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2004-2007</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Баговутівська, 17/21</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Блокбастер</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34 в</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25,500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Метрополіс</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Малиновського, 12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4 Room</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2009</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Вул.</w:t>
            </w:r>
            <w:r w:rsidRPr="00C8397D">
              <w:rPr>
                <w:rFonts w:ascii="Times New Roman" w:hAnsi="Times New Roman"/>
                <w:sz w:val="28"/>
                <w:szCs w:val="28"/>
                <w:lang w:val="uk-UA"/>
              </w:rPr>
              <w:t xml:space="preserve"> Петропавлівська, 6</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23,750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Домосфера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Столичне Шоссе, 101</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21,580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Аракс</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Кільцева Дорога, 110</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Квадрат Аврора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Бульвар Перова, 36</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19,100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Глобус</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2002-2003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Майдан Незалежності</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18,500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Аркадія</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Дніпровська Набережна, 10а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18,400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Метроград</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 Льва Толстого</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Альта Центр</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11а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Універмаг Україна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 Перемоги, 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Магелан</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Вул. Ак. Глушко, </w:t>
            </w:r>
            <w:r w:rsidRPr="00C8397D">
              <w:rPr>
                <w:rFonts w:ascii="Times New Roman" w:hAnsi="Times New Roman"/>
                <w:sz w:val="28"/>
                <w:szCs w:val="28"/>
                <w:lang w:val="ru-RU"/>
              </w:rPr>
              <w:lastRenderedPageBreak/>
              <w:t>13б</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16,000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Аркадія</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Борщагівська, 154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Квадрат Гната-Юри</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Гната Юри, 20</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12,020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Піраміда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Мишуги, 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11,770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Аладдін</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2004-2005</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Гришка, 3-5</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Комод</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Луначарського, 7</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Город Ок</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23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Плазма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2006</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 Московський, 34а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8,800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Арена Сіті</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2005</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Бассейна, 1-3/2а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8,000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Глобал ИА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2006</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О Бальщака, 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7,500</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Мандарін Плаза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2003</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Бассейна, 4</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Квадрат Лук</w:t>
            </w:r>
            <w:r w:rsidRPr="00C8397D">
              <w:rPr>
                <w:rFonts w:ascii="Times New Roman" w:hAnsi="Times New Roman"/>
                <w:sz w:val="28"/>
                <w:szCs w:val="28"/>
              </w:rPr>
              <w:t>’</w:t>
            </w:r>
            <w:r w:rsidRPr="00C8397D">
              <w:rPr>
                <w:rFonts w:ascii="Times New Roman" w:hAnsi="Times New Roman"/>
                <w:sz w:val="28"/>
                <w:szCs w:val="28"/>
                <w:lang w:val="ru-RU"/>
              </w:rPr>
              <w:t>янівка</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Вул. Білоруська, 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6,200</w:t>
            </w:r>
          </w:p>
        </w:tc>
      </w:tr>
    </w:tbl>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те, що протягом 2011 та першого кварталу 2012 років на ринок була виведена досить низька кількість торгівельної площі, наступні 3 квартали 2012 року та 2013 рік очікують на значне збільшення пропозиції у торгівельному секторі.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2012 році на ринку торгівельної нерухомості Києва може з’явитися близько 211 000 кв.м. торгівельних приміщень, що збільшить існуючу пропозицію майже на 23%. Об’єкти, що заплановані до відкриття у столиці до кінця 2012 року включають: першу чергу торгівельно-розважального центру «Ocean Plaza» (девелопер «КАН Девелопмент» та UDP), «Гуллівер» (девелопер «Мандарін Плаза» та «Трі О»), «РайОн» (девелопер «Аррікано </w:t>
      </w:r>
      <w:r w:rsidRPr="00C8397D">
        <w:rPr>
          <w:rFonts w:ascii="Times New Roman" w:hAnsi="Times New Roman"/>
          <w:sz w:val="28"/>
          <w:szCs w:val="28"/>
          <w:lang w:val="ru-RU"/>
        </w:rPr>
        <w:lastRenderedPageBreak/>
        <w:t>Девелопмент»), «Алакор» (девелопер «Алакор») та «Мармелад» (девелопер ВКФ «Мава»). Відкриття першого аутлет центру «Kiev E95 Outlet Centre» відкладено на 2013 рік.</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Приблизно 252 600 кв.м. (ЗОП) торгівельних приміщень заплановано до виводу на ринок Києва у 2013 році, та додатково 296 400 кв.м. – у 2014-2015 роках.</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Формати торгівельних парків (retail parks) та стокових торгівельних центрів (fashion /factory outlets) ще не представлені на ринку країни.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4.3.4</w:t>
      </w:r>
      <w:r w:rsidRPr="00C8397D">
        <w:rPr>
          <w:rFonts w:ascii="Times New Roman" w:hAnsi="Times New Roman"/>
          <w:sz w:val="28"/>
          <w:szCs w:val="28"/>
          <w:lang w:val="ru-RU"/>
        </w:rPr>
        <w:t>.3 - Основні торгівельні об’єкти заплановані до відкриття у 2ій половині 2012-2015 роках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2374"/>
        <w:gridCol w:w="2358"/>
        <w:gridCol w:w="2460"/>
      </w:tblGrid>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Проект</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Запланована дата реал</w:t>
            </w:r>
            <w:r w:rsidRPr="00C8397D">
              <w:rPr>
                <w:rFonts w:ascii="Times New Roman" w:hAnsi="Times New Roman"/>
                <w:sz w:val="28"/>
                <w:szCs w:val="28"/>
                <w:lang w:val="uk-UA"/>
              </w:rPr>
              <w:t>ізації</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ЗОП</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Інвестор</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Республіка</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2014</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139,000</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KAN Девелопмент Мегапол</w:t>
            </w:r>
            <w:r w:rsidRPr="00C8397D">
              <w:rPr>
                <w:rFonts w:ascii="Times New Roman" w:hAnsi="Times New Roman"/>
                <w:sz w:val="28"/>
                <w:szCs w:val="28"/>
                <w:lang w:val="uk-UA"/>
              </w:rPr>
              <w:t>і</w:t>
            </w:r>
            <w:r w:rsidRPr="00C8397D">
              <w:rPr>
                <w:rFonts w:ascii="Times New Roman" w:hAnsi="Times New Roman"/>
                <w:sz w:val="28"/>
                <w:szCs w:val="28"/>
              </w:rPr>
              <w:t>житлобуд</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Делайс</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75,400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Ocean Plaza</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2012</w:t>
            </w:r>
          </w:p>
        </w:tc>
        <w:tc>
          <w:tcPr>
            <w:tcW w:w="2393"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72,200</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KAN Девелопмент UDP</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Торгівельно-розважальний центр</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45,600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Ліко Холдінг</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Проспект</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40,390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Аррікано Девелопмент</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Мармелад</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38,700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ВКФ «Мава»</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Алакор</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36,735</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Алакор</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Гуллівер</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32,000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Мандарин Плаза / Трі</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РайON</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23,000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Аррікано Девелопмент</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Silver Breeze</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2012</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15.770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Світленд Україна</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Kiev E95 (черга 1)</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2013</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15,240</w:t>
            </w:r>
          </w:p>
        </w:tc>
        <w:tc>
          <w:tcPr>
            <w:tcW w:w="239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lang w:val="uk-UA"/>
              </w:rPr>
              <w:t>ЕВО Ленд</w:t>
            </w:r>
          </w:p>
        </w:tc>
      </w:tr>
      <w:tr w:rsidR="00192005" w:rsidRPr="00C8397D" w:rsidTr="00BA5963">
        <w:tc>
          <w:tcPr>
            <w:tcW w:w="239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Полярний</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2012</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8,630</w:t>
            </w:r>
          </w:p>
        </w:tc>
        <w:tc>
          <w:tcPr>
            <w:tcW w:w="239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Інтергал-Буд</w:t>
            </w:r>
          </w:p>
        </w:tc>
      </w:tr>
    </w:tbl>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extent cx="5155565" cy="7130415"/>
            <wp:effectExtent l="0" t="0" r="698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l="18677" t="15425" r="53616" b="16844"/>
                    <a:stretch>
                      <a:fillRect/>
                    </a:stretch>
                  </pic:blipFill>
                  <pic:spPr bwMode="auto">
                    <a:xfrm>
                      <a:off x="0" y="0"/>
                      <a:ext cx="5155565" cy="713041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4.3.4.</w:t>
      </w:r>
      <w:r w:rsidRPr="00C8397D">
        <w:rPr>
          <w:rFonts w:ascii="Times New Roman" w:hAnsi="Times New Roman"/>
          <w:sz w:val="28"/>
          <w:szCs w:val="28"/>
          <w:lang w:val="uk-UA"/>
        </w:rPr>
        <w:t>1 – Основні торгівельні об’єкти Києва</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Місця зосередження торгівельнох нерухомості в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Історично торгівельні центри першої генерації розташовані здебільшого у центральній части Києва, за винятком невеликої кількості об’єктів першої генерації за її межами на периферії у північній та східній частині міста, і з часом ринок торгівельної нерухомості перемістився до віддалених спальних районів міста, де уже на цей час існують та будуються торгівельні об’єкти вищого рівня та якості.</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extent cx="4883150" cy="73056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l="54681" t="17088" r="21463" b="18977"/>
                    <a:stretch>
                      <a:fillRect/>
                    </a:stretch>
                  </pic:blipFill>
                  <pic:spPr bwMode="auto">
                    <a:xfrm>
                      <a:off x="0" y="0"/>
                      <a:ext cx="4883150" cy="730567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lastRenderedPageBreak/>
        <w:t>Рисунок 4.3.4.</w:t>
      </w:r>
      <w:r w:rsidRPr="00C8397D">
        <w:rPr>
          <w:rFonts w:ascii="Times New Roman" w:hAnsi="Times New Roman"/>
          <w:sz w:val="28"/>
          <w:szCs w:val="28"/>
          <w:lang w:val="uk-UA"/>
        </w:rPr>
        <w:t>2 – Основні місця зосередження торгівельних об’єктів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Менше з тим, як зазначено вище, Формати торгівельних парків (retail parks) та стокових торгівельних центрів (fashion /factory outlets) ще не представлені на ринку України, та зокрема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межах Києва торгівельна діяльність історично сформувалась на найбільш жвавих центральних вулицях міста, а також у густонаселених спальних районах, зокрема у безпосередній близькості до станцій метро.</w:t>
      </w:r>
    </w:p>
    <w:p w:rsidR="00192005" w:rsidRPr="00C8397D" w:rsidRDefault="00192005" w:rsidP="00192005">
      <w:pPr>
        <w:spacing w:after="0" w:line="360" w:lineRule="auto"/>
        <w:ind w:firstLine="709"/>
        <w:jc w:val="both"/>
        <w:rPr>
          <w:rFonts w:ascii="Times New Roman" w:hAnsi="Times New Roman"/>
          <w:b/>
          <w:i/>
          <w:sz w:val="28"/>
          <w:szCs w:val="28"/>
          <w:lang w:val="uk-UA"/>
        </w:rPr>
      </w:pPr>
      <w:r w:rsidRPr="00C8397D">
        <w:rPr>
          <w:rFonts w:ascii="Times New Roman" w:hAnsi="Times New Roman"/>
          <w:b/>
          <w:i/>
          <w:sz w:val="28"/>
          <w:szCs w:val="28"/>
          <w:lang w:val="uk-UA"/>
        </w:rPr>
        <w:t>Західний (правий) беріг Дніпра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Найпопулярніші торгівельні локації. Головним торгівельним коридором Києва є центральна вулиця Хрещатик на відрізку Майдан Незалежності – Бесарабська Площа.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Більшість зарубіжних фешн бренди під час виходу на український ринок шукають можливість орендувати приміщення під свій перший магазин на Хрещатику, зокрема на ділянці між Бесарабською Площею та станцією метро «Хрещатик». Цей факт зумовлений рекордною кількістю пішоходів на вулиці Хрещатик, а також престижністю центрального місцезнаходження.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вулиці Хрещатик було розміщено перші магазини франчайзінгової компанії «Арго – торгівельна мережа» (http://argo.com.ua), в тому числі такі бренди як Mango, Parfois, Promod, Jennyfer, United Colours of Benetton, Sisley, Orsay, Desigual, а також два мультибрендових магазини української мережі «Гранд Гелері» (Grand Galleryб http://grandgallery.ua ).</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2007 році міжнародна торгівельна компанія «Індітекс Груп» (Inditex Group) увійшла на український ринок та свій перший магазин Zara (www.zara.com</w:t>
      </w:r>
      <w:r w:rsidRPr="00C8397D">
        <w:rPr>
          <w:rFonts w:ascii="Times New Roman" w:hAnsi="Times New Roman"/>
          <w:sz w:val="28"/>
          <w:szCs w:val="28"/>
          <w:lang w:val="uk-UA"/>
        </w:rPr>
        <w:tab/>
        <w:t>) площею близько 2 000 кв.м. відкрила на Хрещатику у 2008 році. В травні 2010 року на Хрещатику було також відкрито головний магазин Marks&amp;Spencer (www.marksandspencer.com ) неподалік від магазину Zara. А у червні 2011 свій флагманський магазин відкрила компанія GAP (www.gap.com ) через свого франчайзингового представника.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Вздовж Хрещатика розташовано 5 торгівельних центрів, у тому числі </w:t>
      </w:r>
      <w:r w:rsidRPr="00C8397D">
        <w:rPr>
          <w:rFonts w:ascii="Times New Roman" w:hAnsi="Times New Roman"/>
          <w:sz w:val="28"/>
          <w:szCs w:val="28"/>
          <w:lang w:val="uk-UA"/>
        </w:rPr>
        <w:lastRenderedPageBreak/>
        <w:t>універмаг «радянської ери» - ЦУМ, який було закрито на реконструкцію компанією Еста Холдінг на початку 2012 року; торгівельний центр «західного типу» «Глобус» на Майдані Незалежності, викуплений компанією London&amp;Regional; елітний торгівельний центр «Мандарин Плаза», торгівельний центр «Арена Сіті» та низькоякісний підземний торгівельний центр «Метроград» - все на Бесарабській Площі Люксові торгівельні бренди в основному знаходяться на Софіївській площі (Armani, Zegna, Brioni, Pal Zileri), по вул..Городецького, у Пасажі на Хрещатику, а також у складі торгівельного центру «Мандарин Плаза» та у приміщеннях у безпосередній близькості до нього.</w:t>
      </w:r>
    </w:p>
    <w:p w:rsidR="00192005" w:rsidRPr="00C8397D" w:rsidRDefault="00192005" w:rsidP="00192005">
      <w:pPr>
        <w:spacing w:after="0" w:line="360" w:lineRule="auto"/>
        <w:ind w:firstLine="709"/>
        <w:jc w:val="both"/>
        <w:rPr>
          <w:rFonts w:ascii="Times New Roman" w:hAnsi="Times New Roman"/>
          <w:b/>
          <w:i/>
          <w:sz w:val="28"/>
          <w:szCs w:val="28"/>
          <w:lang w:val="uk-UA"/>
        </w:rPr>
      </w:pPr>
      <w:r w:rsidRPr="00C8397D">
        <w:rPr>
          <w:rFonts w:ascii="Times New Roman" w:hAnsi="Times New Roman"/>
          <w:b/>
          <w:i/>
          <w:sz w:val="28"/>
          <w:szCs w:val="28"/>
          <w:lang w:val="uk-UA"/>
        </w:rPr>
        <w:t>Поділ</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Завдяки зростаючій активності офісного сегменту та великій кількості закладів громадського харчування різної цінової категорії, на Подолі сформувалась популярна торгівельна локація, що представлена елітними бутіками та магазинами популярних закордонних брендів.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Подолі торгівельна діяльність здебільшого сконцентрована вздовж вулиці Петра Сагайдачного та історичного центра місцевості – Контрактової Площі, відомої тим, що з часів Київської Русі тут був розташований ринок, а пізніше місце стало постійним господарем Контрактового ярмарку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Вулиця Велика Васильківська/вулиця Антоновича/Площа Либідська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Вулиці Велика Васильківська (раніше Червоноармійська) та Антоновича (раніше Горького), а також прилеглі до них території, формують продовження торгівельної активності Хрещатика.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Велика Васильківська відома розташуванням тут ряду магазинів середнього та високого цінового рівня, елітних бутіків та деяких більших торгівельних об’єктів. Найбільші торгівельні центри у зазначеній локації: торгівельний центр «Олімпійський» (ЗОП 7 000 кв.м.), що відкрився у 2004 році у складі багатофункціонального комплексу (разом з офісними та жилими приміщеннями), а також торгівельний комплекс, що складється з кінотеатру «Батерфляй», продуктового супермаркету «МегаМаркет» та супермаркету </w:t>
      </w:r>
      <w:r w:rsidRPr="00C8397D">
        <w:rPr>
          <w:rFonts w:ascii="Times New Roman" w:hAnsi="Times New Roman"/>
          <w:sz w:val="28"/>
          <w:szCs w:val="28"/>
          <w:lang w:val="uk-UA"/>
        </w:rPr>
        <w:lastRenderedPageBreak/>
        <w:t>електроніки «МегаМакс».</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2005 році було відкрито низькоякісний торгівельний центр «Интервал Плаза» (ЗОП 6 000 кв.м.) поблизу станції метро «Либідська» з якорними орендарями «Косом», магазин товарів для краси та здоров’я, та супермаркетом «Бумі-Маркет».</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Торгоівельно-розважальний центр «Гуллівер» (раніше відомий як «Еспланада» та «Континенталь») загальною орендованою площею близько 32 000 кв.м. наразі будується на Спортивній площі, поблизу північної частини вул..Велика Васильківська. Цей об’єкт є складовою частиною великого багатофункціонального комплексу, який спочатку був запланований до відкриття наприкінці 2008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Станом на червень 2012 року відкриття торгівельно-розважального центру можливе до кінця 2012 року. As of June 2012, the delivery of the retail and leisure centre ‘Gulliver’ is planned in autumn 2012.</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«Ocean Plaza» загальною орендованою площею понад 72 000 кв.м. також знаходиться у процесі будівництва компаніями KAN Development та UDP на Либідській площі у Києві. Проект, перша черга реалізації якого запланована на осінь 20121 року, раніше був відомий під назвою «Либідь-Плаза».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Додатково до зазначеного вище на території, обмеженій вулицями Антоновича, Дімітрова, Фізкультури та Короленківська, планувалось будівництво торгівельно-розважального центра як частина великого багатофункціонального комплексу «Парк Горького». Загальна площа всього комплексу повинна була скласти 580 000 кв.м. та розвиток проекту було започатковано компанією «Міжрегіональний Інвестиційний Союз». Незважаючи на той факт, що розвиток проекту було призупинено у 2008 році, ми передбачаємо його подальший розвиток, беручи до увагу надзвичайно вдале розташування ділянки, та зогляду на купівлю проекту європейським девелопером торгівельної нерухомості.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Проспект Перемоги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Проспект Перемоги є одної з основних магістралей міста, що поєднрую Площу Перемоги та район Святошино (західна околиця міста).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Це найбільш приваблива територія зогляду торгівельної активності, тому що прилягає до центрального ділового району міста. На Площі Перемоги розташований відреставрований торгівельно-розважальний центр «Універмаг Україна» (ЗОП 20 800 кв.м.), з якірними орендарями супермаркет «Велика Кишеня», кінотеатр «Одеса-Кіно», що був куплений ірландським інвестором компанією Quinn Group у 2006 році.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Ряд магазинів середнього цінового рівня зосереджені у вигляді стріп-молу на відрізку проспекту Перемоги між вул..Шолуденко та Політехнічним провулком. Серед магазинів, представлених тут, дитячий супермаркет «Антошка», взуттєві магазини «Інтертоп», «Carlo Pazzolini», «Респект», «Монарх», «Центро», а також магазини «Adidas» та «Colin’s».</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Також планується будівництво торгівельно-розважального центру за адресою: вул..Златовустівська, 11 на території колишньої тютюнової фабрики. Відомо, що проект було продано колишнім власником компанією «НЕСТ» українській компанії «BUD HAUS GROUP».</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Центральний Залізничний Вокзал</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Поблизу Центрального Залізничного Вокзалу (з боку центрального та північного входів) розташовано декілька торгівельних об’єктів різного рівня якості, як існуючі, так і заплановані.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Торгівельний центр «Европорт» загальною орендованою площею 6 300 кв.м. з гіпермаркетом «Еко» у якості якірного орендаря знаходиться навпроти піднебного входу до Центрального Залізничного Вокзалу. Також у цій місцевості знаходиться розважальний центр «Ультрамарін» (ЗОП 18 300 кв.м.), до складу якого входять боулінг клуб, 6-зальний кінотеатр «Батерфляй», казино «Оазис», декілька більярдних столів, дитяча розважальна зона, зал ігрових автоматів, кафе та бари.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Багатофункціональний крупноформатний проект «Великі Ворота Києва» був запланований перед Центральним Залізничним Вокзалом на </w:t>
      </w:r>
      <w:r w:rsidRPr="00C8397D">
        <w:rPr>
          <w:rFonts w:ascii="Times New Roman" w:hAnsi="Times New Roman"/>
          <w:sz w:val="28"/>
          <w:szCs w:val="28"/>
          <w:lang w:val="uk-UA"/>
        </w:rPr>
        <w:lastRenderedPageBreak/>
        <w:t>території, обмеженій вулицями Комінтерна, Жиляньська та Старовокзальна. Згідно з публічними даними цей проект був початково налічував 45 000 кв.м. офісних приміщень, 75 000 кв.м. торгівельно-розважального центру та 48 000 кв.м. розважального центру із 12-зальним кінотеатром, боулінгом та диско клубом. Незважаючи на це, реалізація проекту наразі так і не розпочалась, але факт його реалізації повністю змінить сприйняття району.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Лукьянівка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Територія, наближена до станції метро «Лукьянівська» має значний потенціал для подальшого розвитку та формування торгівельного кластеру/зосередження. На даний момент тут уже з 1999 року оперує окружний торгівельний центр «Квадрат-Лукьянівка» компанії «XXI Сторічча», а також критий ринок «Лукьянівський».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Вулиця Вадима Гетьмана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Торгівельний кластер утворився недавнім часом вздовж вул. Вадима Гетьмана на відрізку між перехрестям проспекту Перемоги і вул..Довженка (біля станції метро «Шулявська») та Індустріальним мостом та вул..Борщагівською.</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«Більшовик» (ЗОП 36 200 кв.м.) було відкрито у декілька черг протягом 2007-2008 років на території колишнього машинобудівельного заводу «Більшовик». Якірними орендарями об’єкту є гіпермаркет «МегаМаркет», кінотеатр «Батерфляй Більшовик», боулінг клуб, льодова ковзанка, дитячий майданчик, а також галерея магазинів та бутіків. В рамках комплексу також відкрився та оперує готель «Космополіт».</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2007 році дніпропетровською компанією «Rainford» у цій же торгівельній локації було відкрито торгівельний центр «Материк» (ЗОП 16 000 кв.м). Спочатку якірним орендарем був гіпермаркет «Rainford», який після зміни власника будо замінено на гіпермаркет «Сільпо», а назву об’єкта зменено на «Аркадія».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До кінця 2012 року у безпосередній близькості до «Аркадії» заплановано відкриття торгівельно-розважального центру «Мармелад» </w:t>
      </w:r>
      <w:r w:rsidRPr="00C8397D">
        <w:rPr>
          <w:rFonts w:ascii="Times New Roman" w:hAnsi="Times New Roman"/>
          <w:sz w:val="28"/>
          <w:szCs w:val="28"/>
          <w:lang w:val="uk-UA"/>
        </w:rPr>
        <w:lastRenderedPageBreak/>
        <w:t>загальною орендованою площею 38 700 кв.м, якірними орендарями якого стануть супермаркет «Амстор», фітнес центр «СпортЛайф».</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Петрівка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Петрівка завжди вважалась промисловою зоною, але починаючи з 2003 року цей район став перетворюватись на торгівельне зосередження, що найбільш інтенсивно розвивається за межами центральної частини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Інтерес торгівельних операторів до Петрівки зумовлений тим, що район знаходиться на перетині декількох найважливіших магістралей, що поєднують густонаселені північні райони правого та лівого берегів Дніпра Києва, а також активний комерційний район Подолу, який розташований на південь від петрівки. Слід також зазначити, що район Петрівки мав значний потенціал для реконструкції колишніх промислових зон, що були тут розміщені.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Більшість торгівельних об’єктів зосереджено вздовж Московського проспекту, що є дуже інтенсивною магістраллю, яка поєднує центральну частину міста з густонаселеними спальними районами лівого берега Києва (через Московський міст), а також з популярним житловим масивом Оболонь.</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те, що Петрівка поєднує в собі як комерційну так і індустріальну складові, вона оточена густонаселеними житловими масивами. На сьогоднішній день на Петрівці представлено різноманітні формати торгівельної нерухомості. Популярний раніше ринок одягу, господарчих товарів та книжковий ринок розмістилися у безпосередній близькості до станції метро «Петрівка».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Торгівельні центри першого покоління – «Альта Центр», «ГородОК», «Плазма», та «Макрос» – були відкриті тут протягом 2003-2006 років, переважно шляхом реконструкції промислових об’єктів. В 2005 році центр оптової торгівлі «Metro Cash&amp;Carry» відкрився на Московському проспекті, а перший в Україні гіпермаркет «Ашан» - у 2008 році.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Розважально-торгівельний центр «Блокбастер» (ЗОП 25 500 кв.м.) за невеликою торгівельної складової відкрився на Петрівці у 2008 році. </w:t>
      </w:r>
      <w:r w:rsidRPr="00C8397D">
        <w:rPr>
          <w:rFonts w:ascii="Times New Roman" w:hAnsi="Times New Roman"/>
          <w:sz w:val="28"/>
          <w:szCs w:val="28"/>
          <w:lang w:val="uk-UA"/>
        </w:rPr>
        <w:lastRenderedPageBreak/>
        <w:t>Сьогодні цей об’єкт містить кінотеатр «Мультиплекс» із кінозалом «IMAX», а також кінотеатр 5Д, льодову ковзанку, зал ігрових автоматів, ролердром, дитячий розважальний центр, більярдний клуб, боулінг, картинг, повітряний парк, фітнес центр, зону ресторанів та фудкорт.</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Продовженням торгівельного кластеру Петрівка можна також вважати торгівельно-розважальний центр «Sky Mall» (ЗОП 66 000 кв.м.), що розташований на лівому березі Дніпра, на іншому боці Московського моста. Якірним орендарем першої черги цього об’єкту був гіпермаркет «ОКей», що відкрився у 2007 році. Згодом, після припинення діяльності «ОКей» в Україні, його місце зайняв французький «Ашан».</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Друга черга торгівельно-розважального центру «Sky Mall», представлена торгівельною галереєю та розважальною складовою, була відкрита у 2010 році. Об’єкт було реалізовано компанією «Панорама Груп», що входить до «Аррікано Груп».</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районі Петрівка також спостерігається висока концентрація магазинів електроніки та побутової техніки: окремо розташованих та у складі торгівельних центрів. Серед них такі оператори, як «Comfy», «Фокстрот», «Ельдорадо» та «City.Com», а також велика кількість спеціалізованих магазинів з продажу комп’ютерів і комплектуючих та мобільних телефонів. Також у даній локаціє знаходяться декілька магазинів і супермаркетів меблів та товарів інтер’єру. Велика кількість салонів авто дилерів також представлені на Петрівці.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Ще до закінчення 2008 року на території Петрівки біля одноіменної станції метро планувалось будівництво декількох нових об’єктів торгівельної нерухомості, в тому числі торгівельно-розважальний центр «Петрівка Молл» загальною орендованою площею близько 57 500 кв.м., що мав витіснити існуючий ринок «Петрівка», а також торгівельно-розважальний центр площею близько 108 000 кв.м. біля Московського мосту, але ні один із зазначених проектів не було реалізовано.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Оболонь</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Новий район зосередження торгівельної нерухомості з’явився на Оболонь, що складається з густонаселеного житлового масиву та декількох великих промислових територій.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Оболоні знаходиться торгівельно-розважальний центр «Караван Мегастор» (37690 кв.м.), який відкривався у декілька фаз протягом 2004-2008 років. До складу «Каравану» входять однойменний продуктовий гіпермаркет, торгівельна галерея, кінотеатр «Одеса-Кіно», боулінг клуб «Махаон», дитячий розважальний центр «Ігроленд», ресторани, кафе та фудкорт. Проект був реалізований українською компаніє. «Караван Груп». Незважаючи на неоднозначність місцезнаходження даного об’єкту у промисловій зоні та зростаючою конкуренцією на ринку торгівельної нерухомості в Києві, «Караван» залишається одним найбільш успішних проектів.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Торгівельно-розважальний центр першого покоління «Метрополіс» (ЗОП 15 000 кв.м.) відкрився у 2004 році біля станції метро «Оболонь» в густонаселеному масиві. З початку якірним орендарем був супермаркет російської мережі «Патерсон», який згодом було замінено на супермаркет «ЕкоМаркет».</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складу об’єкту також входить кінотеатр «Лінія Кіно» та боулінг клуб «Бруклін». Зразу навпроти «Метрополісу» у 2006 році відкрився трьохповерховий дитячий розважальний центр «Дивосвіт» (http://dyvosvit.ua), посилюючи привабливість даної локації загалом.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Торгівельно-розважальний центр «Дрім Таун» (90 860 кв.м.) відкрився у дві черги у 2009 та 2011 роках. Незважаючи на присутність у даному проекті ряду недоліків, він є дуже успішним завдяки своєму влучному місцезнаходженню на Оболонському проспекті, у центрі густонаселеного житлового масиву та між трьома станціями метро («Оболонь», «Мінська», «Героїв Дніпра»). Якірними орендарями першої черги є супермаркет «Новус», спортивний гіпермаркет «Спортмастер», кінотеатр «Оскар», льодова ковзанка, кьорлінг, боулінг та більярд клуб, картинг, ролердром, зал ігрових автоматів та фудкорт. До другої черги «Дрім Тауна» (ЗОП близько 50 </w:t>
      </w:r>
      <w:r w:rsidRPr="00C8397D">
        <w:rPr>
          <w:rFonts w:ascii="Times New Roman" w:hAnsi="Times New Roman"/>
          <w:sz w:val="28"/>
          <w:szCs w:val="28"/>
          <w:lang w:val="uk-UA"/>
        </w:rPr>
        <w:lastRenderedPageBreak/>
        <w:t>000 кв.м.) увійшов аквапарк, гіпермаркет «Космос», супермаркети електроніки «Технополіс» та «Фокстрот», меблеві магазини та магазини для дітей.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четвертому кварталі 2010 року було звітовано про завершення угоди будівництва за схемою «build-to-suit», за якою було збудовано будівельний гіпермаркет (DIY) площею 15 600 кв.м. для французького оператора «Леруа Мерлін» на Оболоні.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2011 році компанія «Інтергал-Буд», яка працію у сфері будівництва житлової нерухомості, також розпочала реалізацію окружного торгівельного центру загальною орендованою площею близько 8 600 кв.м. на ділянці, що межує з гіпермаркетом «Леруа Мерлін». Згідно з публічними даними, проект планують відкрити до кінця 2012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Кільцева Дорога та проспект Академіка Палладіна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недавнього часу київська Кільцева дорога такожстала розвиватися у напрямку торгівельного зосередження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Сегмент торгівельної нерухомості став з’являтися з боку Одеської площі у напрямку до проспекту Перемоги.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Основні торгівельні об’єкти, що з’явились тут, - торгівельно-розважальний центр «Магелан» (ЗОП 21 000 кв.м.), центр оптової торгівлі «Metro Cash&amp;Carry» та будівельний гіпермаркет (DIY) «Епіцентр». У 2009 році спеціалізовані торгівельні центри меблів та товарів для дому «Аракс» та «4Room», торгівельний центр «Променада парк» з гіпермаркетом «Ашан», відкрились на Кільцевій дорозі. У 2010 році тут же відкрився будівельний гіпермаркет (DIY) німецького оператора «Практікер», а у 2011 році – продовольчий ринок «Столичний».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Розвиток торгівельної нерухомості також було розпочато на проспекті Академіка Палладіна. Основні об’єкти тут супермаркет «Новус» біля станції метро «Академмістечко», будівельний гіпермаркет (DIY) «Епіцентр» та гіпермаркет «Ашан» неподалік від перетину проспекту Академіка Палладіна та вулиці Стеценка.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За прогнозами експертів декілька нових об’єктів крупного формату будуть реалізовані на Кільцевій Дорозі та на проспекті Академіка Палладіна, що посилить існуючий торгівельний кластер у цій локації.</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Серед найбільших слід зазначити проект торгівельно-розважального центру «Республіка» (раніше відомий як «Панда Парк») загальною площею близько 284 300 кв.м. та загальною орендованою площею 139 000 кв.м. Об’єкт буде збудовано неподалік від житлового масиву Теремки, і його відкриття заплановано на 2014 рік. Девелопер проекту – компанія «KAN Development», а інвестор – «Мегаполісжитлобуд». Станом на червень 2012 року на ділянці уже розпочато будівельні роботи.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Перехрестя Столичного шосе та вулиці Академіка Заболотного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Новий заміський кластер формується навколо існуючого торгівельного центра «Домосфера» (перша черга) загальною орендованою площею близько 21 600 кв.м., що збудовано на перехресті Столичного шосе та вул..Академіка Заболотного. Об’єкт спеціалізується на меблях та товарах для дому високого цінового рівня, був відкритий у 2009 українською компанією-девелопером «Division» як перша черга проекту. Тризірковий готель «Ramada Encore Kiev» мережі «Wyndham Hotel Group International» відкрився в червні 2012 як продовження багатофункціонального комплексу. Згідно з публічними даними компанія «DeVision» також планує реалізувати тут бізнес-центр, а також 30 000 кв.м. (ЗОП) торгівельно-розважального центру з якірним орендарем «Фуршет Гурман».</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Декілька років назад компанія «Алакор» розпочала будівництво на ділянці навпроти «Домосфери».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Сьогодні це будівництво перетворено на реалізацію торгівельного центру близько 36 740 кв.м. (ЗОП), який анонсовано відкрити наприкінці 2012 – напочатку 2013 років.</w:t>
      </w:r>
    </w:p>
    <w:p w:rsidR="00192005" w:rsidRPr="00C8397D" w:rsidRDefault="00192005" w:rsidP="00192005">
      <w:pPr>
        <w:spacing w:after="0" w:line="360" w:lineRule="auto"/>
        <w:ind w:firstLine="709"/>
        <w:jc w:val="both"/>
        <w:rPr>
          <w:rFonts w:ascii="Times New Roman" w:hAnsi="Times New Roman"/>
          <w:b/>
          <w:i/>
          <w:sz w:val="28"/>
          <w:szCs w:val="28"/>
          <w:lang w:val="uk-UA"/>
        </w:rPr>
      </w:pPr>
      <w:r w:rsidRPr="00C8397D">
        <w:rPr>
          <w:rFonts w:ascii="Times New Roman" w:hAnsi="Times New Roman"/>
          <w:b/>
          <w:i/>
          <w:sz w:val="28"/>
          <w:szCs w:val="28"/>
          <w:lang w:val="uk-UA"/>
        </w:rPr>
        <w:t>Східний (лівий) берег Дніпра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Лівий беріг Дніпра у Києві стає все більш привабливим з точки зору розвитку торгівельної нерухомості тут завдяки значному споживчому </w:t>
      </w:r>
      <w:r w:rsidRPr="00C8397D">
        <w:rPr>
          <w:rFonts w:ascii="Times New Roman" w:hAnsi="Times New Roman"/>
          <w:sz w:val="28"/>
          <w:szCs w:val="28"/>
          <w:lang w:val="uk-UA"/>
        </w:rPr>
        <w:lastRenderedPageBreak/>
        <w:t>потенціалу нових густонаселених житлових масивів та обмеженій кількості земельних ділянок на правому березі Дніпра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Проспект Миколи Бажана (Осокорки, Позняки, Харківьский)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Проспект Миколи Бажана вважається одним з найголовніших сполучних магістралей Києва, який веде у напрямку міжнародного аеропорту «Бориспіль» та переходить у міжнародну трасу Е-40 у напрямку Харкова. Густонаселені житлові масиві у поєднанні з наявністю тут декількох станцій метро роблять проспект Миколи Бажана одним за найбільш привабливих з точки зору розвитку торгівельного сектору.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Торгівельна активність вздовж проспекту Миколи Бажана, сформована ринками, окремими магазинами, та форматами «big box», а також торгівельними та торгівельно-розважальними центрами, і зосереджена в основному поблизу станцій метро «Осокорки», «Позняки», «Харківська».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початку 2008 року торгівельний центр «Материк Осокорки» (ЗОП 18 400 кв.м.) було відкрито неподалік від станції метро «Осокорки». Спочатку якірним орендарем був гіпермаркет дніпропетровського оператору «Rainford», який після зміни власника будо замінено на гіпермаркет «Сільпо», а назву об’єкта змінено на «Аркадія».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Через дорогу від «Материк Осокорки» на проспекті Миколи Бажана завершується будівництво гіпермаркету «Новус», відкриття якого має відбутись до кінця 2012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цій же місцевості вздовж Дніпровської Набережної знаходиться критий ринок «Євробазар», а також будується торгівельно-розважальний центр «River Mall» (раніше відомий як «Аквапарк») загальною орендованою площею близько 49 070 кв.м.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Територія навколо станції метро «Позняки» також отримала розвиток у напрямку торгівельної нерухомості. Основні торгівельні об’єкти: торгівельно-розважальний центр «Аладдін» (ЗОП 10 500 кв.м.), що відкрився у дві черги у 2004-2005 роках, був проданий компанії «Meyer Bergman» у 2008 році, має спільну автомобільну парковку з супермаркетом «Billa» та </w:t>
      </w:r>
      <w:r w:rsidRPr="00C8397D">
        <w:rPr>
          <w:rFonts w:ascii="Times New Roman" w:hAnsi="Times New Roman"/>
          <w:sz w:val="28"/>
          <w:szCs w:val="28"/>
          <w:lang w:val="uk-UA"/>
        </w:rPr>
        <w:lastRenderedPageBreak/>
        <w:t>рестораном McDonald’s. Торгівельний центр «Піраміда» (ЗОП 11 770 кв.м.) також було відкрито у 2004 році біля станції метро «Позняки» та у 2006 році продано компанії «1849 PLC».</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Окружний торгівельний центр «inSilver» відкрився через дорогу від «Аладдіну» та «Піраміди» у 2011 році, девелопер – компанія «DeVision».</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Всередині житлового масиву в 10 хвилинах ходьби від станції «Позняки» було відкрито оптовий центр торгівлі «Metro Cash&amp;Carry» (2004 рік) та будівельний гіпермаркет «Епіцентр» (2005 рік). У безпосередній близькості до них розпочато будівництво торгівельно-розважального центру «Київ Молл» близько 75 400 кв.м. (ЗОП), відкриття якого заплановано на середину 2013 року, девелопер – компанія «Ділайс».</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Ще один проект регіонального торгівельно-розважального центру під назвою «Квадрат Вирлиця» (орієнтовна ЗОП 80 400 кв.м.) заплановано компанією «XXI Сторіччя» біля озера Вирлиця як частина багатофункціонального комплексу, що також буде вміщувати офісні приміщення, конференц-зали, концертний та виставковий зали, житло, фітнес центр тат готель. Згідно з публічною заявою датованою квітнем 2012 року компанія «XXI Сторіччя» підписала інвестиційну угоду з компанією «Auchan SA» на будівництво продуктового гіпермаркету «Ашан» (17 914 кв.м.), що має відкритися у 2014 році. Також компанія «XXI Сторіччя» веде перемовини із оператором «Леруа Мерлін» про розміщення у своєму проекті будівельного гіпермаркета мережі даного оператора. Станом на червень 2012 року будівельні роботи на ділянці ще не розпочато.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Броварський проспект/ Дарниця/ Ленінградська площа/ Лісова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Декілька торгівельних об’єктів знаходяться у густонаселеному житловому районі Києва вздовж Броварського проспекту, який вважається одним із найбільш інтенсивних транспортних шляхів міста на лівому березі Дніпра. Декілька торгівельних локацій сформувалось тут, в основному зосереджені біля станцій метро «Лівобережна», «Дарниця» та «Лісова».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Торгівельно-розважальний центр «Комод» було відкрито у 2007 році </w:t>
      </w:r>
      <w:r w:rsidRPr="00C8397D">
        <w:rPr>
          <w:rFonts w:ascii="Times New Roman" w:hAnsi="Times New Roman"/>
          <w:sz w:val="28"/>
          <w:szCs w:val="28"/>
          <w:lang w:val="uk-UA"/>
        </w:rPr>
        <w:lastRenderedPageBreak/>
        <w:t>(ЗОП 10 000 кв.м.) у житловому масиві поряд зі станцією «Лівобережна». Якірні орендарі: «Фуршет», кінотеатр «Мультиплекс» та галерея з брендовими магазинами.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2011 році торгівельний центр «Лівобережний» (ЗОП 4 500 кв.м.) відкрився на виході зі станції «Лівобережна». Також тут знаходиться критий ринок та ресторан швидкого харчування «McDonald’s».</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Торгівельна територія близько станції метро «Дарниця» є спеціалізованою на дитячих товарах. Так, тут знаходиться п’ятиповерховий універмаг «Дитячий Світ» (ЗОП 20 000 кв.м.) та декілька менших об’єктів торгівлі товарами для дітей.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Ленінградську площу можна теж віднести до зони зосередження торгівельної діяльності з декількома торгівельними об’єктами поблизу універмагу «Дарниця» (ЗОП 5 000 кв.м.), який був куплений та реставрований компанією «Київ-Донбас» та відкрився у 2008 році.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Хаотична торгівельна діяльність, що існувала поблизу станції метро «Чернігівська», перетворюється на ще один торгівельний кластер завдяки запланованій реалізації тут торгівельно-розважального центру «Проспект» (девелопер «Аррікано Девелопмент»), загальною орендованою площею близько 40 390 кв.м. Відкриття об’єкту заплановано на 2013 рік, станом на червень 2012 року будівельні роботи на ділянці ще не розпочато.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Територія навколо станції метро «Лісова» також є інтенсивним торгівельним зосередженням. Всі торгівельні об’єкти тут націлені середній та низький ціновий рівень. Незважаючи на те, що торгівельний комплекс «Даринок» представлений у форматі критого ринку площею близько 68 000 кв.м., цей об’єкт є дуже популярним. У цій же локації запланована реалізація у довгостроковій перспективі проекту компанії «XXI Сторіччя» - «Квадрат Лісова» орендованою площею близько 33 500 кв.м.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Також до потенціальних торгівельних локацій лівого берега Дніпра Києва можна віднести територію вздовж трамвайної колії по вулиці Оноре де Бальзака та густонаселений район Троєщина.</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lastRenderedPageBreak/>
        <w:t>Попит на торгівельну нерухомість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Наприкінці 2008 року в Україні нараховувалось близько</w:t>
      </w:r>
      <w:r w:rsidRPr="00C8397D">
        <w:rPr>
          <w:rFonts w:ascii="Times New Roman" w:hAnsi="Times New Roman"/>
          <w:sz w:val="28"/>
          <w:szCs w:val="28"/>
          <w:lang w:val="uk-UA"/>
        </w:rPr>
        <w:tab/>
        <w:t>500 торгівельних марок, які, переважно, оперували на українському ринку на основі франчайзингу. Протягом наступних двох років до ринку приєдналися відомі міжнародні торгівельні оператори.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зв’язку з кризовими умовами у 2009 році локальні та міжнародні торгівельні оператори в Україні перглянули свої ринкові стратегії. Деякі з них залишили ринок та припинили свою діяльність в той час, як інші скористалися моментом та продовжили свою експансію в країні.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Як результат, попит якісних торгівельних операторів на торгівельну нерухомість в містах України з загальною кількістю жителів від 200 000 до 700 000 практично зник. В більших містах зі слабко диверсифікованою економічною базою (наприклад, Запоріжжя, Кривий Ріг та Маріуполь) також було зафіксоване значне послаблення попиту в сегменті. В той самий час ринки торгівельної нерухомості Києва та Одеси виявилися достатньо стійкими до негативного впливу кризи.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найгірші очікування, 2009 рік виявився достатньо позитивним для багатьох торгівельних операторів, представлених в Україні, зокрема в сегменті продажу продуктів харчування, а також одягу та взуття у цінових діапазонах «низький» та «середній».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Протягом третього кварталу 2010 року до вересня 2011 року компанія DTZ відзначає помітне покращення загальної динаміки попиту на торгівельні приміщення по всій Україні, оскільки багато торгівельних операторів дедалі частіше були зацікавлені у розширенні своїх мереж в країні. В той самий час, відсутність достатньої кількості якісних об’єктів торгівельної нерухомості є однією з основних перепон для здійснення таких планів.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Протягом третього кварталу 2011 року великі торгівельні оператори активно розглядали можливість розширення своїх мереж в країні. Однак, необхідно відзначити деяке погіршення сприйняття торгівельними операторами короткострокового потенціалу українського ринку роздрібної </w:t>
      </w:r>
      <w:r w:rsidRPr="00C8397D">
        <w:rPr>
          <w:rFonts w:ascii="Times New Roman" w:hAnsi="Times New Roman"/>
          <w:sz w:val="28"/>
          <w:szCs w:val="28"/>
          <w:lang w:val="uk-UA"/>
        </w:rPr>
        <w:lastRenderedPageBreak/>
        <w:t>торгівлі, що пов’язане з загальною негативною динамікою світових ринків та політичною нестабільністю в Україні.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загальне покращення динаміки ринку торгівлі, у 2010 – 2011 роках Україна не увійшла у рейтинг найбільш привабливих країн для роздрібної торгівлі згідно Індексу розвитку світової роздрібної торгівлі (Global Retail Development Index (GRDI)). Індекс розвитку світової роздрібної торгівлі є щорічним дослідженням компанії A.T. Kearney, яке визначає 30 найбільш привабливих країн з економікою, що розвивається, з позиції розширення рітейл-бізнесу, та базується на комплексному аналізі 25 макроекономічних та характерних для роздрібної торгівлі показників.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Київ залишається найбільш привабливим для всіх торгівельних операторів, представлених в Україні або плануючих вихід на ринок країни. В першій половині 2011 року рівень наповнення якісних торгівельних приміщень вздовж центральних торгівельних вулиць та в успішних торгівельних центрах української столиці повернувся до до кризовий рівень та залишався високим протягом періоду з липня 2011 року до червня 2012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січні – листопаді 2011 року на український ринок вийшли кілька модних брендів. Зокрема, франчайзингова компанія Fiba Retail відкрила флагманський магазин бренду GAP на центральній вулиці Києва Хрещатику. Відомі бренди New Yorker та Oysho своєю присутністю урізноманітнили склад орендарів у ТРЦ Sky Mall у Києві та ТРЦ Rivera Shopping City в Одесі. Крім того, в Києві були відкриті перші магазини брендів FiNN FLARE та Centro.</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результаті кризи на ринку торгівлі України активізувались операції (транзакції) злиття та поглинання.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На початку 2011 року російська торгівельна група «Л’Этуаль» оголосила о придбанні 100% акцій мережі Brocard, добре відомої в Україні, а також придбанні мережі Bonjour, яка на той час вже належала компанії Brocard. Перший магазин бренду «Л’Этуаль» в Україні був відкритий у </w:t>
      </w:r>
      <w:r w:rsidRPr="00C8397D">
        <w:rPr>
          <w:rFonts w:ascii="Times New Roman" w:hAnsi="Times New Roman"/>
          <w:sz w:val="28"/>
          <w:szCs w:val="28"/>
          <w:lang w:val="uk-UA"/>
        </w:rPr>
        <w:lastRenderedPageBreak/>
        <w:t>другій черзі ТРЦ «Dream Town» в Києві, другий – у ТЦ «Пасаж» у Дніпропетровську.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Міжнародна A.S. Watson Group у 2006 році придбала 65% акцій роздрібної мережі «ДЦ», яка первинно належала українській компанії Asnova Holding та завершила операцію у 2010 році, отримавши 100% пакету акцій мережі. В березні 2011 року магазини мережі «ДЦ» були перейменовані у Watsons.</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серпні 2011 року західноєвропейська компанія PPF Group завершила операцію з придбання 100% пакету акцій російської роздрібної мережі «Ельдорадо», також представленої в Україні. Операція була розпочата у 2009 році, коли PPF Group придбала 50%+1 акцію мережі «Ельдорадо».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листопаді 2011 року роздрібна мережа «АТБ-маркет» з головним офісом у Дніпропетровьку оголосила о готовності продати свої акції. Як і у 2010 році, у 2011 році декілька роздрібних мереж в Україні відкрили магазини нових форматів.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 у другій черзі ТРЦ «Dream Town» в Києві був відкритий перший в українській столиці супермаркет «Космос» одеської мережі «Таврія-В». Наприкінці жовтня 2011 року торгівельна мережа «Будинок Іграшок», яка спеціалізується на дитячих товарах, відкрила перший магазин під назвою «Дитячий Світ» у ТРЦ Rivera Shopping City в Одесі.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сегменті високої моди моно брендові магазини Christian Dior, Ermanno Scervino та Trussardi були відкриті у центральних районах Києва у 2011 році. У першому кварталі 2012 року на український ринок вийшла російська мережа універмаг одягу lady&amp;gentleman CITY та перший флагманський магазин відкрився у ТРЦ «Караван»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Відомо, що продовольчий супермаркет «Амстор» з головним офісом у Донецьку виходить на ринок Києва та заключив договори оренди у торгівельно-розважальних центрах «Гулівер» та «Мармелад», відкриття яких заплановано на осінь 2012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Відсутність «критичної маси» якісних об’єктів торгівельної </w:t>
      </w:r>
      <w:r w:rsidRPr="00C8397D">
        <w:rPr>
          <w:rFonts w:ascii="Times New Roman" w:hAnsi="Times New Roman"/>
          <w:sz w:val="28"/>
          <w:szCs w:val="28"/>
          <w:lang w:val="uk-UA"/>
        </w:rPr>
        <w:lastRenderedPageBreak/>
        <w:t>нерухомості в Україні є перепоною для виходу на український ринок низки відомих міжнародних торгівельних операторів. Відкриття магазинів таких брендів як H&amp;M, C&amp;A, Debenhams and Peek&amp;Cloppenburg є малоймовірним у найближчий час.</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Однак, у 2012 році кілька нових брендів вийшли на український ринок. Станом на червень 2012 року в Україні нараховувалось близько 650 торгівельних марок, оперуючих переважно за основі франчайзингу. Після того, як торгівельна марка Peacocks залишила Україну, компанія Maratex вивела на ринок новий бренд - OVS (який належить компанії Gruppo Coin), перший магазин якого вже оперує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Заплановане відкриття торгівельно-розважального центру «Ocean Plaza» у Києві восени 2012 року сприяло виходу на український ринок одразу кількох нових торгівельних марок. Разом з вже існуючими брендами, франшизами яких володіє, компанія МТІ оголосила о намірах відкрити магазини Camper, Napapijri, Atelier de Courcelles та Lee Wrangler в новому проекті. Також, кілька магазинів брендів сегменту високої моди, серед яких Furla (представлена в Україні компанією Rich Inter Group), Weekend Max Mara та Marina Rinaldi (Max Mara Fashion Group), вперше буде відкрито у «Ocean Plaza». Перші магазини Pepe Jeans London, Michael Kors, LC Waikiki, Rebeca Sanver та MEUCCI також приєднаються до проекту.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Оператори об’єктів big box з надійними джерелами фінансування активно розширювалися у 2011 році та у першому кварталі 2012 року, що зумовлено стратегією розвитку цих компаній у зв’язку з високим потенціалом українського ринку та наявністю привабливих земельних ділянок у порівнянні невисокими цінами. Таким чином, Metro Cash&amp;Carry, Eпіцентр та Нова Лінія укріпили свою присутність в Україні.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Оператори роздрібної торгівлі продуктами харчування, зокрема Fozzy Group, Auchan, Novus та Амстор, а також мережі супермаркетів побутової техніки та електроніки Comfy та Tехнополісактивно розглядали можливість оренди у нових об’єктах як у великих містах з населенням понад 750 000 </w:t>
      </w:r>
      <w:r w:rsidRPr="00C8397D">
        <w:rPr>
          <w:rFonts w:ascii="Times New Roman" w:hAnsi="Times New Roman"/>
          <w:sz w:val="28"/>
          <w:szCs w:val="28"/>
          <w:lang w:val="uk-UA"/>
        </w:rPr>
        <w:lastRenderedPageBreak/>
        <w:t>жителів так і у менших містах України.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Професійні торгівельні мережі в Україні у теперешній час дуже ретельно підходять до оцінки якості торгівельних приміщень та умов оренди.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highlight w:val="yellow"/>
          <w:lang w:val="uk-UA"/>
        </w:rPr>
        <w:t>Таблиц</w:t>
      </w:r>
      <w:r w:rsidRPr="00C8397D">
        <w:rPr>
          <w:rFonts w:ascii="Times New Roman" w:hAnsi="Times New Roman"/>
          <w:sz w:val="28"/>
          <w:szCs w:val="28"/>
          <w:lang w:val="uk-UA"/>
        </w:rPr>
        <w:t>я - Строки та умови оренди у якісних торгівельних центрах 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7286"/>
      </w:tblGrid>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Показник</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Харакетристика</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Строк оренди</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3-5 років – на стандартні торгівельні приміщення площею 50-250 кв.м; 7-10 років – для міні-якірних (500 –1,000 кв.м) та 10-15 років  - для якірних орендарів  та додатково пріоритетне право поновлення договору оренди.</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Умови оплати</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Зазвичай прив’язка до долару США або Євро, але оплата в українській гривні.</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Індексація</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Щорічна, згідно СРІ у США, який публікується Департаментом Праці США або згідно з ЄВРО СРІ, який публікується Eurostat або на величину зміни СРІ в Україні, який публікується Державним комітето статистики.</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Орендна плата</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Фіксована, додатково % від товарообігу стає звичайною практикою у нових високоякісних торгівельних об’єктах (таких як Riviera Shoring City, Sky Mall, King Cross Leopolis, Південна Галерея та ін.)</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Експлуатаційні платежі</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2-8 дол. США / кв.м / місяць додатково до комунальних послуг, взалежності від якості торгівельного об’єкту.</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Маркетинговий платіж</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2-5 дол. США / кв.м / місяць, взалежності від якості торгівельного об’єкту.</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Стан приміщення</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Без оздоблення Інвестиції у повне або часткове оздоблення інколи надаються якірним орендарям.</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Гарантійний платіж </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У формі грошового платежу або банківської гарантії у розмірі орендної плати за період від 2 до 6 місяців. Зрідка застосовується гарантія материнської компанії.</w:t>
            </w:r>
          </w:p>
        </w:tc>
      </w:tr>
    </w:tbl>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Орендні ставки на торгівельні приміщення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До початку економічної кризи 2008-2009 років через значний попит та дефіцит якісних об’єктів, орендні ставки на торгівельні приміщення в успішних торгівельних центрах Києва та інших містах України з населенням понад 700 000 жителів мали тенденцію до зростання.</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extent cx="3550285" cy="225679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l="3949" t="56172" r="74930" b="19933"/>
                    <a:stretch>
                      <a:fillRect/>
                    </a:stretch>
                  </pic:blipFill>
                  <pic:spPr bwMode="auto">
                    <a:xfrm>
                      <a:off x="0" y="0"/>
                      <a:ext cx="3550285" cy="2256790"/>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Рисунок 4.3.4.4 - Динаміка орендних ставок на торгівельні приміщення у Києві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Примітка: Всі дані наведені на кінець перілду для типових приміщень площею 100-300 кв.м. </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Орендні ставки вздовж центральних торгівельних вулиць Києва у 2008 році здебільшого залишалися стабільними в протилежність тенденціям 2004 -2007 років, коли вони стрімко зростали. Орендні ставки на торгівельні приміщення у торгівельних центрах, розташованих в центрі міста, протягом року незначно зросли. В той самий час орендні ставки на типові приміщення у торгівельних центрах з великою кількістю орендарів, розташованих у густонаселених районах міста або їх безпосередній близькості, не змінювалися.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першій половині 2008 року у містах-обласних центрах з населенням понад 700 000 мешканців орендні ставки на торгівельні приміщення на центральних вулицях та у відносно якісних торгівельних центрах з великою кількістю орендарів зросли як наслідок активної експансії торгівельних мереж на цей ринок.</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містах з населенням менше 700 000 чоловік, які у першій половині </w:t>
      </w:r>
      <w:r w:rsidRPr="00C8397D">
        <w:rPr>
          <w:rFonts w:ascii="Times New Roman" w:hAnsi="Times New Roman"/>
          <w:sz w:val="28"/>
          <w:szCs w:val="28"/>
          <w:lang w:val="uk-UA"/>
        </w:rPr>
        <w:lastRenderedPageBreak/>
        <w:t>2008 року з’явилися на «моніторах радарів розвитку» багатьох торгівельних мереж, здавалися менш привабливими для них в умовах ринку, що змінився. До того ж, багато торгівельних мереж відклали плани розвитку у таких менших містах до 2010-2011 коли очікувалося відкриття значної кількості якісних торгівельних центрів, а також економічне «одужання». Таке сприйняття спричинило тенденцію до зниження орендних ставок на приміщення, розташовані вздовж центральних вулиць, а також у торгівельних центрах з великою кількістю орендарів в українських містах третього ешелону.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2009 році економічний спад, девальвація гривні, реальні доходи населення та об’єми продажів спричинили значне зниження базових орендних ставок в Києві та по всій Україні. Також, через економічний спад, у 2009 році значна кількість торгівельних мереж прагнули зафіксувати орендні ставки у гривневому еквіваленті для того, щоб захистити свої витрати на оренду від подальшого послаблення української національної валюти по відношенню до американського долару та/або євро. Також відомі випадки, коли деякі торгові оператори наполягали на зниженні базових орендних ставок та представленні орендної плати від товарообороту у діапазоні 5-15% взалежності від категорії товарів орендаря.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2009 році вакантність торгівельних приміщень значно відрізнялась у різних торгівельних центрах в залежності від їх якості. Внаслідок зростання активності торгівельних мереж у країні та покращення загального сприйняття потенціалу ринку, протягом першого кварталу 2010 року спостерігалося зростання орендних ставок у якісних торгівельних центрах з великою кількістю орендарів у Києві на 10-25% порівняно з 2009 роком.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Залишаючись здебільшого стабільними у другому та третьому кварталах, орендні ставки на торгові приміщення у найкращих торгівельних центрах української столиці наприкінці року зросли на 10%. В четвертому кварталі 2010 року середня місячна оренда у найбільш успішних торгівельних об’єктах Києва була зафіксована на рівні $70-90 за 1 кв.м. за </w:t>
      </w:r>
      <w:r w:rsidRPr="00C8397D">
        <w:rPr>
          <w:rFonts w:ascii="Times New Roman" w:hAnsi="Times New Roman"/>
          <w:sz w:val="28"/>
          <w:szCs w:val="28"/>
          <w:lang w:val="uk-UA"/>
        </w:rPr>
        <w:lastRenderedPageBreak/>
        <w:t>торгівельні приміщення площею 100-300 кв.м., досягаючи $160-200 за кв.м. у найбільш популярних об’єктах.</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другого кварталу 2010 року зростаючий попит на приміщення вздовж центральних торгівельних коридорів Києва призвів до подальшого коректування базових орендних ставок на дану категорію об’єктів у діапазоні 5-15% у порівнянні з першим кварталом того ж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Внаслідок зростання активності торгівельних мереж та покращення загального сприйняття потенціалу українського ринку, протягом перших трьох кварталів 2011 року було зареєстроване зростання зростання базових орендних ставок у якісних об’єктах торгівельної нерухомості в Києві, а також в деяких якісних торгівельних центрах, які вже деякий час оперують в інших великих містах України.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Протягом періоду з жовтня 2011 по березень 2012 включно, середні орендні ставки в київських торгівельних об’єктах залишалися здебільшого стабільними на рівні 70-90 USD за 1 кв.м. на торгові приміщення площею 100-300 кв.м., досягаючи рівня 160-200 USD за кв.м. на місяць у найбільш популярних торгівельних об’єктах. Аналогічна динаміка орендних ставок також спостерігалася по відношенню до найкращих торгівельних об’єктів, розташованих вздовж центральних торгівельних коридорів Києва та інших обласних центрів України з чисельністю населення понад 750 000 жителів.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Значне стійке зростання базових орендних ставок на торгівельну нерухомість є малоймовірним протягом наступних трьох кварталів 2012 року. Це пов’язано з зі порівняно невеликою кількістю якісних торгівельних мереж в країні, суттєвим об’ємом торгівельних приміщень, відкриття яких планується у короткостроковій перспективі, а також ризиками економічної нестабільності в світі та Україні.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Довгострокова стійкість існуючих орендних ставок в торговому сегменті залежатиме від реальних строків відкриття та якості масштабних проектів, заявлених до виходу на ринок у 2012-2013 роках, а також загальної макроекономічних умов в Україні. Якість залишається вирішальним </w:t>
      </w:r>
      <w:r w:rsidRPr="00C8397D">
        <w:rPr>
          <w:rFonts w:ascii="Times New Roman" w:hAnsi="Times New Roman"/>
          <w:sz w:val="28"/>
          <w:szCs w:val="28"/>
          <w:lang w:val="uk-UA"/>
        </w:rPr>
        <w:lastRenderedPageBreak/>
        <w:t>фактором успішності всіх існуючих та нових торгівельних центрів в Україні.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Через глибоку економічну кризу в Україні з кінця 2008 року, більшість активних девелоперів в країні вже визнають той факт, що ґрунтовний підхід до вибору відповідного місця розташування, ефективної концепції та правильного підбору орендарів та їх планомірної стратегії експансії в країні, будуть сприяти довгостроковій успішності та інвестиційної ліквідності.</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Прогноз</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Сегмент торгівельної нерухомості виявився найбільш стійким до негативного впливу економічної кризи 2008 - 2009 років у порівнянні з іншими сегментами комерційної нерухомості України. Очікується, що у середньостроковому періоді (у середньостроковій перспективі) сегмент торгівельної нерухомості в Україні демонструватиме подальше динамічне зростання, особливо після глобальної та місцевої стабілізації економічної ситуації.</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Незважаючи на те, що ще залишаються ознаки економічної кризи та відносно низького рівню доходів населення в країні, потенціал ринку торгівельної нерухомості в Україні, безперечно (безсумнівно), залишається високим. Це пов’язано з незрілістю (нерозвиненістю) ринку з точки зору якості об’єктів торгівельної нерухомості та представлених форматів, розмірів країни, високої щільності населення, високої чутливості населення до модних тенденцій та торгових марок, а також його високої схильності до витрат на придбання модних товарів.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Для більшості девелоперів та інвесторів, які оперують на українському ринку нерухомості, сектор торгівельної нерухомості є найбільш привабливим, особливо в містах з населенням понад 750 000 жителів.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uk-UA"/>
        </w:rPr>
        <w:t xml:space="preserve">У 2010 – 2011 роках були розпочаті активні роботи з розвитку ряду масштабних проектів торгівельної нерухомості в Києві та інших містах України. </w:t>
      </w:r>
      <w:r w:rsidRPr="00C8397D">
        <w:rPr>
          <w:rFonts w:ascii="Times New Roman" w:hAnsi="Times New Roman"/>
          <w:sz w:val="28"/>
          <w:szCs w:val="28"/>
          <w:lang w:val="ru-RU"/>
        </w:rPr>
        <w:t>Якщо ці проекти будуть побудовані у відповідності до заявлених строків, загальний об’єм ринку торгівельної нерухомості в країні значно збільшиться до кінця 2013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Як результат, загальна привабливість українського ринку торгівельної нерухомості для торгівельних мереж посилиться (зміцниться), але потенційне зростання конкуренції в сегменті, скоріше за все, призведе до зниження орендних ставок. Найбільш суттєве зниження орендних ставок очікується в класі неякісних торгівельних центрів «першого покоління» внаслідок посилення конкуренції.</w:t>
      </w:r>
    </w:p>
    <w:p w:rsidR="00192005" w:rsidRPr="00C8397D" w:rsidRDefault="00192005" w:rsidP="0019200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3.2.1.5. Ринок житлової нерухомості м. Києва</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Нижче викладені ключові фактори, тенденції і прогнози попиту, пропозиції та інші показники житлового сектора нерухомості.</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Пропозиція</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кінець березня 2012 року, загальний існуючий житловий фонд в Києві склав близько 60,6 мільйонів кв. м, що складає 5,6% від загального житлового фонду в Україні.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В кінці першого кварталу 2012 року житловий фонд на душу населення склав </w:t>
      </w:r>
      <w:smartTag w:uri="urn:schemas-microsoft-com:office:smarttags" w:element="metricconverter">
        <w:smartTagPr>
          <w:attr w:name="ProductID" w:val="21,7 кв. м"/>
        </w:smartTagPr>
        <w:r w:rsidRPr="00C8397D">
          <w:rPr>
            <w:rFonts w:ascii="Times New Roman" w:hAnsi="Times New Roman"/>
            <w:sz w:val="28"/>
            <w:szCs w:val="28"/>
            <w:lang w:val="ru-RU"/>
          </w:rPr>
          <w:t>21,7 кв. м</w:t>
        </w:r>
      </w:smartTag>
      <w:r w:rsidRPr="00C8397D">
        <w:rPr>
          <w:rFonts w:ascii="Times New Roman" w:hAnsi="Times New Roman"/>
          <w:sz w:val="28"/>
          <w:szCs w:val="28"/>
          <w:lang w:val="ru-RU"/>
        </w:rPr>
        <w:t xml:space="preserve"> (якщо брати до уваги офіційну кількість населення міста близько 2,8 млн. чоловік). Відповідно до діючого чинного Генерального плану розвитку Києва до 2020 року, житловий фонд на душу населення в Києві повинен був збільшитися до 35 кв. Таким чином, для досягнення мети у місті треба встановити додаткові 37000000 квадратних метрів житлової площі. Наведений вище показник базується на основі офіційних даних загальної чисельності населення в Києві,яка становить близько 2,8 мільйона, у той час як відповідно багатьом експертам реальний показник населення становить близько 4 мільйонів жителів, таким чином при інших рівних умовах збільшуючи потребу в житловій площі в місті.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На ринку житлової нерухомості в Києві, а також новій щорічній поставці в сектор, домінують багатоквартирні житлові комплекси, на частку яких припадає близько 71% нових житлових будівель в місті в першому кварталі 2012 року.</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Слід зазначити, що в період 2009-2011 років, частка однокімнатних квартир у загальному обсязі нової житлової нерухомості збільшилася з 31% в </w:t>
      </w:r>
      <w:r w:rsidRPr="00C8397D">
        <w:rPr>
          <w:rFonts w:ascii="Times New Roman" w:hAnsi="Times New Roman"/>
          <w:sz w:val="28"/>
          <w:szCs w:val="28"/>
          <w:lang w:val="ru-RU"/>
        </w:rPr>
        <w:lastRenderedPageBreak/>
        <w:t>2009 році до 35% в 2011 році. Цей показник відображає попит на цю категорію нерухомості.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На первинному ринку житлової нерухомості в Києві, квартири, як правило, поставляються без обробки. За рідкісним винятком нещодавно був побудований багатоквартирний житловий комплекс економ-класу "Паркові Озера" від українського розробника Інтергал-Буд, який був повністю обладнаний встановленою кухнею, а також житлові комплекси середнього рівня доходів "Парк авеню" ізраїльської компанії "Seven Hills" і "River Stone " української компанії KAN Development, які були готові до остаточного облаштування.</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За даними Державного Комітету Статистики, в січні-березні 2012 року середній розмір квартир, побудованих в цей період у Києві склав 86 квадратних метрів. Згідно з чинним Генеральним планом розвитку Києва до 2020 року, нинішній середній розмір квартир, який становить </w:t>
      </w:r>
      <w:smartTag w:uri="urn:schemas-microsoft-com:office:smarttags" w:element="metricconverter">
        <w:smartTagPr>
          <w:attr w:name="ProductID" w:val="51 кв. м"/>
        </w:smartTagPr>
        <w:r w:rsidRPr="00C8397D">
          <w:rPr>
            <w:rFonts w:ascii="Times New Roman" w:hAnsi="Times New Roman"/>
            <w:sz w:val="28"/>
            <w:szCs w:val="28"/>
            <w:lang w:val="ru-RU"/>
          </w:rPr>
          <w:t>51 кв. м</w:t>
        </w:r>
      </w:smartTag>
      <w:r w:rsidRPr="00C8397D">
        <w:rPr>
          <w:rFonts w:ascii="Times New Roman" w:hAnsi="Times New Roman"/>
          <w:sz w:val="28"/>
          <w:szCs w:val="28"/>
          <w:lang w:val="ru-RU"/>
        </w:rPr>
        <w:t xml:space="preserve">, буде збільшений до </w:t>
      </w:r>
      <w:smartTag w:uri="urn:schemas-microsoft-com:office:smarttags" w:element="metricconverter">
        <w:smartTagPr>
          <w:attr w:name="ProductID" w:val="62 кв. м"/>
        </w:smartTagPr>
        <w:r w:rsidRPr="00C8397D">
          <w:rPr>
            <w:rFonts w:ascii="Times New Roman" w:hAnsi="Times New Roman"/>
            <w:sz w:val="28"/>
            <w:szCs w:val="28"/>
            <w:lang w:val="ru-RU"/>
          </w:rPr>
          <w:t>62 кв. м</w:t>
        </w:r>
      </w:smartTag>
      <w:r w:rsidRPr="00C8397D">
        <w:rPr>
          <w:rFonts w:ascii="Times New Roman" w:hAnsi="Times New Roman"/>
          <w:sz w:val="28"/>
          <w:szCs w:val="28"/>
          <w:lang w:val="ru-RU"/>
        </w:rPr>
        <w:t>.</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Питання про житло в Києві та його якість було додатково виділено в проекті Генерального плану розвитку міста Києва до 2025 року. Згідно з цим документом, однією з основних проблем розвитку міста Києва є диспропорція між місцем проживання і роботою мешканців міста. Іншими міськими проблемами і тенденціями розвитку, що відносяться до подальшого покращення житлової нерухомості в Києві, які були зареєстровані в період 2002-2010 років і підкреслені в проекті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Генерального плану розвитку міста Києва до 2025 року зокрема є:</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a) Загальний житловий фонд в Києві склав 60 мільйонів квадратних метрів, а загальний житловий фонд на душу населення в місті досяг лише </w:t>
      </w:r>
      <w:smartTag w:uri="urn:schemas-microsoft-com:office:smarttags" w:element="metricconverter">
        <w:smartTagPr>
          <w:attr w:name="ProductID" w:val="21,7 кв. м"/>
        </w:smartTagPr>
        <w:r w:rsidRPr="00C8397D">
          <w:rPr>
            <w:rFonts w:ascii="Times New Roman" w:hAnsi="Times New Roman"/>
            <w:sz w:val="28"/>
            <w:szCs w:val="28"/>
            <w:lang w:val="ru-RU"/>
          </w:rPr>
          <w:t>21,7 кв. м</w:t>
        </w:r>
      </w:smartTag>
      <w:r w:rsidRPr="00C8397D">
        <w:rPr>
          <w:rFonts w:ascii="Times New Roman" w:hAnsi="Times New Roman"/>
          <w:sz w:val="28"/>
          <w:szCs w:val="28"/>
          <w:lang w:val="ru-RU"/>
        </w:rPr>
        <w: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b) Рівень надання соціальних послуг вважається дуже низьким, особливо у віддалених житлових районах на правому та лівому берегах Дніпра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c) Обсяг зелених насаджень загального користування в Києві складає </w:t>
      </w:r>
      <w:r w:rsidRPr="00C8397D">
        <w:rPr>
          <w:rFonts w:ascii="Times New Roman" w:hAnsi="Times New Roman"/>
          <w:sz w:val="28"/>
          <w:szCs w:val="28"/>
          <w:lang w:val="ru-RU"/>
        </w:rPr>
        <w:lastRenderedPageBreak/>
        <w:t xml:space="preserve">до </w:t>
      </w:r>
      <w:smartTag w:uri="urn:schemas-microsoft-com:office:smarttags" w:element="metricconverter">
        <w:smartTagPr>
          <w:attr w:name="ProductID" w:val="14,4 кв. м"/>
        </w:smartTagPr>
        <w:r w:rsidRPr="00C8397D">
          <w:rPr>
            <w:rFonts w:ascii="Times New Roman" w:hAnsi="Times New Roman"/>
            <w:sz w:val="28"/>
            <w:szCs w:val="28"/>
            <w:lang w:val="ru-RU"/>
          </w:rPr>
          <w:t>14,4 кв. м</w:t>
        </w:r>
      </w:smartTag>
      <w:r w:rsidRPr="00C8397D">
        <w:rPr>
          <w:rFonts w:ascii="Times New Roman" w:hAnsi="Times New Roman"/>
          <w:sz w:val="28"/>
          <w:szCs w:val="28"/>
          <w:lang w:val="ru-RU"/>
        </w:rPr>
        <w:t xml:space="preserve"> на душу населення порівняно з необхідними </w:t>
      </w:r>
      <w:smartTag w:uri="urn:schemas-microsoft-com:office:smarttags" w:element="metricconverter">
        <w:smartTagPr>
          <w:attr w:name="ProductID" w:val="20 кв. м"/>
        </w:smartTagPr>
        <w:r w:rsidRPr="00C8397D">
          <w:rPr>
            <w:rFonts w:ascii="Times New Roman" w:hAnsi="Times New Roman"/>
            <w:sz w:val="28"/>
            <w:szCs w:val="28"/>
            <w:lang w:val="ru-RU"/>
          </w:rPr>
          <w:t>20 кв. м</w:t>
        </w:r>
      </w:smartTag>
      <w:r w:rsidRPr="00C8397D">
        <w:rPr>
          <w:rFonts w:ascii="Times New Roman" w:hAnsi="Times New Roman"/>
          <w:sz w:val="28"/>
          <w:szCs w:val="28"/>
          <w:lang w:val="ru-RU"/>
        </w:rPr>
        <w:t xml:space="preserve"> на душу населення.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d) Загальний запас і нова пропозиція недорогих житлових приміщень у Києві не відповідають реальним потребам міста.</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У квітні 2012 року Кабінет Міністрів України прийняв програму "Доступне житло", згідно за якою певна група населення має право на іпотечні кредити під 3% річних. Нормативна площа квартири в рамках програми не повинна перевищувати </w:t>
      </w:r>
      <w:smartTag w:uri="urn:schemas-microsoft-com:office:smarttags" w:element="metricconverter">
        <w:smartTagPr>
          <w:attr w:name="ProductID" w:val="58 кв. м"/>
        </w:smartTagPr>
        <w:r w:rsidRPr="00C8397D">
          <w:rPr>
            <w:rFonts w:ascii="Times New Roman" w:hAnsi="Times New Roman"/>
            <w:sz w:val="28"/>
            <w:szCs w:val="28"/>
            <w:lang w:val="ru-RU"/>
          </w:rPr>
          <w:t>58 кв. м</w:t>
        </w:r>
      </w:smartTag>
      <w:r w:rsidRPr="00C8397D">
        <w:rPr>
          <w:rFonts w:ascii="Times New Roman" w:hAnsi="Times New Roman"/>
          <w:sz w:val="28"/>
          <w:szCs w:val="28"/>
          <w:lang w:val="ru-RU"/>
        </w:rPr>
        <w:t>, у той час як нормативна, максимальна ціна на житло у Києві складає 7000 грн за кВ. м (еквівалент $886).</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Попит</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Будучи столицею України, а також економічним і політичним центром, Київ приваблює заможних людей і молодих фахівців, які утворюють стійкий, але іноді уповільнений попит на якісне житло у місті. Однак дійсний попит на квартири не може бути оціненим правильно у зв'язку з відсутністю державного реєстру фактичних продажів в Україні.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Потенційні покупці квартир в Києві на даний час вкрай обережно і вибірково ставляться щодо співвідношення ціни і рівня якості. У той час як в 2004-2007 роках більшість квартир, які продавались без обробки, були бумом і мали спекулятивний характер на ринку житлової нерухомості, сьогодні покупці дуже обережні і вважають за краще купувати житло або на вторинному ринку або на більш пізній стадії будівництва. Як засвідчено, з 2011 року житлові забудовники у Києві поступово приходять в довіру, і все більше людей готові купити квартиру до введення в експлуатацію багатоквартирного житлового комплексу, якщо розробник є відомою компанією і має перевірену репутацію.</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Багато людей в Києві як і раніше вважають за краще вкладати свої фінансові заощадження в житлову нерухомість через бажання стати власником квартири, коливання курсу валют, відсутність довіри до банківської системи, а також загальну економічну і політичну невизначеності </w:t>
      </w:r>
      <w:r w:rsidRPr="00C8397D">
        <w:rPr>
          <w:rFonts w:ascii="Times New Roman" w:hAnsi="Times New Roman"/>
          <w:sz w:val="28"/>
          <w:szCs w:val="28"/>
          <w:lang w:val="ru-RU"/>
        </w:rPr>
        <w:lastRenderedPageBreak/>
        <w:t>в країні.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Середня кількість людей в одній сім’ї в Києві складає 2,56 і 2,57 осіб у 2009 і 2010 роках відповідно.</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 українських родинах столиці кількість сімей, які складаються з 1, 2, 3 і 4 і більше осіб майже однакова, і це означає, що попит повинен існувати на всі категорії квартир за кількістю кімнат.</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Ціни</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Історично склалося, що до кінця 2007 року ціни на житло, як на первинному так і вторинному ринку в Києві постійно збільшувались. Протягом перших дев'яти місяців 2008 року рівень цін на різні типии житлової власності залишалися в цілому стабільним, в той час як в четвертому кварталі в результаті посилення економічної кризи активність будівництва в секторі сповільнився і зменшився попит.</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З кінця 2008 року стало очевидно, що купівельна спроможність на ринку житлової нерухомості значно послабилася у зв'язку з економічною кризою, а також як результат введення комерційними банками збільшених ставок та більш жорстких умов по іпотечним кредитам по всіх доступних валютах. У четвертому кварталі 2008 року ставки за іпотечними кредитами склали близько 20-30% в гривні і 14-20% в доларах США і євро. Спекулятивні покупки житлових приміщень, поширені в 2004-2007 роках, майже припинилися.</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У 2009 році негативні тенденції, викликані світовою кризою, продовжували впливати на ринок житлової нерухомості Києва. Більшість іпотечних програм було припинено, і попит на житло знижувався далі. З березня 2009 року комерційні банки перестали надавати іпотечні кредити на первинному і вторинному житловому ринку нерухомості. В 2009 році ринок житлової нерухомості у Києві повністю перетворився з ринку «продавця» на ринок «покупця», більшість покупців зайняла «вичікувальну" позицію, сподіваючись на подальше зниження цін. Це привело до невеликого обсягу угод купівлі-продажу житлової нерухомості. Загалом протягом 2009 року </w:t>
      </w:r>
      <w:r w:rsidRPr="00C8397D">
        <w:rPr>
          <w:rFonts w:ascii="Times New Roman" w:hAnsi="Times New Roman"/>
          <w:sz w:val="28"/>
          <w:szCs w:val="28"/>
          <w:lang w:val="ru-RU"/>
        </w:rPr>
        <w:lastRenderedPageBreak/>
        <w:t>запропоновані ціни на житлову нерухомість на вторинному ринку знизилися приблизно 50% в річному численні в еквіваленті долара США.</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Ознаки економічної стабілізації в Україні в першому півріччі 2010 року і відсутність коливань обмінного курсу призвели до незначного відродження ринку і збільшення кількості переглядів квартир. Однак, загальна невизначеність на ринку і незначне банківське кредитування у 2010 році призвело до подальшого зниження цін на житлову нерухомість.</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Ринок житлової нерухомості в Києві в цілому продемонстрував позитивну динаміку протягом 2011 року та в першій половині 2012 року. У той же час, попит на житлову площу в Києві, а також середні ціни на різні категорії квартир в місті в цілому залишилися стабільними протягом цього періоду.</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У центральній частині Києва кілька житлових районів, таких як Липки і площа поруч з Хрещатиком, звичайно розглядалися як більш престижні і зручні ніж інші, і, таким чином, житлові будівлі (як на первинному так і вторинному ринках), розташовані там, як правило, більш дорожчі, ніж в інших житлових кварталах міста.</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Прогноз</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Подальший розвиток ринку житлової нерухомості в Києві і Україні в цілому важко передбачити в першу чергу через відсутність чітких показників попиту і кількості угод купівлі-продажу в цьому секторі, а також через загальну економічну невизначеність. Однак, очевидно, що ринок житлової нерухомості в Києві залишається ненасиченим, як з точки зору загального обсягу приміщень, їх якості і різноманітності формату, а також через відкладений попит, нереалізований через відсутність кредитного фінансування і до цих пір високі ціни в порівнянні з середніми доходами населення.</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Існує експертна думка, що, як тільки банки почнуть надавати більш доступні кредити, багато хто з позичальників, досить імовірно, зроблять рішення про покупку квартири, особливо у сегменті ринку низького і </w:t>
      </w:r>
      <w:r w:rsidRPr="00C8397D">
        <w:rPr>
          <w:rFonts w:ascii="Times New Roman" w:hAnsi="Times New Roman"/>
          <w:sz w:val="28"/>
          <w:szCs w:val="28"/>
          <w:lang w:val="ru-RU"/>
        </w:rPr>
        <w:lastRenderedPageBreak/>
        <w:t>середнього рівня доходу. На ринку житлової нерухомості в Києві є багато можливостей будівництва доступного житла, а також якісного житла середнього рівня доходу з усіма зручностями та ефективною прибудинковою територією.</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У минулому в період 2001-2008 років щорічна пропозиція на ринку житлової нерухомості в Києві складала від 1 до 1,4 млн. м. кв. У зв'язку з фінансовою кризою в секторі було зафіксовано зниження річної пропозиції, яка склала до 950 тис. квадратних метрів у 2009 році і більше 1 млн. кв. м в 2010 році. За прогнозами цей показник у 2012-2020 у Києві буде не менше 900 тис. кв. м, варіюючись від 900 тис. до 1 500 тис. кв. м в рік.</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липень 2012 року, компанія DTZ передбачає, що середні ціни на квартири в Києві збільшаться на 2-3% в річному обчисленні в 2012 році, трохи перевищуючи темпи економічного зростання в Україні. З початку 2013 року ми очікуємо деяке зміцнення висхідної динаміки з щорічним зростанням цін на 3-5% щороку протягом 2013-2016 рр.. Ці прогнози також залежать від глобальних і локальних економічних умов, а також коливання курсу гривні щодо іноземної валюти.</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Загальний огляд</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кінці першого кварталу 2012 року загальний існуючий житловий фонд в Києві склав близько 60,6 мільйонів кв. м, збільшившись на 1,5% в річному численні і склавши 5,6% від загального житлового фонду в Україні.</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657600" cy="23444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l="9691" t="20877" r="67262" b="52835"/>
                    <a:stretch>
                      <a:fillRect/>
                    </a:stretch>
                  </pic:blipFill>
                  <pic:spPr bwMode="auto">
                    <a:xfrm>
                      <a:off x="0" y="0"/>
                      <a:ext cx="3657600" cy="234442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 xml:space="preserve">Рисунок 4.3.5.1 - Весь житловий фонд та нова щорічна пропозиція у </w:t>
      </w:r>
      <w:r w:rsidRPr="00C8397D">
        <w:rPr>
          <w:rFonts w:ascii="Times New Roman" w:hAnsi="Times New Roman"/>
          <w:sz w:val="28"/>
          <w:szCs w:val="28"/>
          <w:lang w:val="ru-RU"/>
        </w:rPr>
        <w:lastRenderedPageBreak/>
        <w:t>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ринку житлової нерухомості в Києві, а також в новій щорічній пропозиції домінують багатоквартирні житлові комплекси.</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550285" cy="2286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l="9691" t="40401" r="67473" b="33440"/>
                    <a:stretch>
                      <a:fillRect/>
                    </a:stretch>
                  </pic:blipFill>
                  <pic:spPr bwMode="auto">
                    <a:xfrm>
                      <a:off x="0" y="0"/>
                      <a:ext cx="3550285" cy="2286000"/>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Рисунок 4.3.5.2 - Нові щорічний приріст житлового фонду в Києві за типами будівель</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Найвища будівельна активність в секторі житлової нерухомості в Києві була зафіксована в 2007-2008 роках, яка була підтримана жвавим ростом цін на житлову нерухомість. У 2009 році на піку економічної та фінансової кризи загальна річна пропозиція на ринку знизилася на 33,7% в порівнянні з 2008 роком, що відображає значне зниження будівельної активності в секторі. Тим не менш, ринок житла продемонстрував повільне відновлення в 2010 році, на рівні 6,8% в порівнянні з низькими обсягами, зареєстрованими в 2009 році.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Обсяг нової пропозиції на ринку житла у Києві в 2011 році склав близько 1,5 млн. кв. м, збільшившись майже на 50% в порівнянні з 2010 роком. У 2011 році загальний обсяг нових житлових будівель в українській столиці склав близько 16% від загального числа нових щорічних поставок у країні.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першому кварталі 2012 року загальний обсяг нової житлової нерухомості в Києві становив </w:t>
      </w:r>
      <w:smartTag w:uri="urn:schemas-microsoft-com:office:smarttags" w:element="metricconverter">
        <w:smartTagPr>
          <w:attr w:name="ProductID" w:val="178 000 кв. м"/>
        </w:smartTagPr>
        <w:r w:rsidRPr="00C8397D">
          <w:rPr>
            <w:rFonts w:ascii="Times New Roman" w:hAnsi="Times New Roman"/>
            <w:sz w:val="28"/>
            <w:szCs w:val="28"/>
            <w:lang w:val="ru-RU"/>
          </w:rPr>
          <w:t>178 000 кв. м</w:t>
        </w:r>
      </w:smartTag>
      <w:r w:rsidRPr="00C8397D">
        <w:rPr>
          <w:rFonts w:ascii="Times New Roman" w:hAnsi="Times New Roman"/>
          <w:sz w:val="28"/>
          <w:szCs w:val="28"/>
          <w:lang w:val="ru-RU"/>
        </w:rPr>
        <w:t>, складаючись з 157 осель, і збільшився на 14,8% в порівнянні з аналогічним періодом минулого року.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Майже 53% нового житлового фонду в січні-березні 2012 року був побудований у Дарницькому адміністративному окрузі, на лівому березі річки </w:t>
      </w:r>
      <w:r w:rsidRPr="00C8397D">
        <w:rPr>
          <w:rFonts w:ascii="Times New Roman" w:hAnsi="Times New Roman"/>
          <w:sz w:val="28"/>
          <w:szCs w:val="28"/>
          <w:lang w:val="ru-RU"/>
        </w:rPr>
        <w:lastRenderedPageBreak/>
        <w:t>Дніпро.</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122295" cy="2402840"/>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l="9712" t="27548" r="65875" b="39037"/>
                    <a:stretch>
                      <a:fillRect/>
                    </a:stretch>
                  </pic:blipFill>
                  <pic:spPr bwMode="auto">
                    <a:xfrm>
                      <a:off x="0" y="0"/>
                      <a:ext cx="3122295" cy="240284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4.3.5.3 - Обсяг нової пропозиції на ринку житла у Києві, по адміністративних районах</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Слід зазначити, що в період 2009-2011 років, частка однокімнатних квартир у загальному обсязі нових житлових приміщень збільшилася з 31% в 2009 році до 35% в 2011 році. Цей показник відображає попит на цю категорію житла.</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4464685" cy="1371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l="5919" t="30072" r="55634" b="48972"/>
                    <a:stretch>
                      <a:fillRect/>
                    </a:stretch>
                  </pic:blipFill>
                  <pic:spPr bwMode="auto">
                    <a:xfrm>
                      <a:off x="0" y="0"/>
                      <a:ext cx="4464685" cy="137160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4.3.5.4 - Нові житлові приміщення за кількістю кімнат у Києві, , 2009-2011</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 даними Державного комітету статистики, в січні-березні 2012 середній розмір квартир побудованих в цей період склав 86 квадратних метрів. Серед нових житлових приміщень переважали 2-кімнатні квартири (близько 36% від загального числа квартир), в той час як 1-кімнатні та 3-кімнатні квартири склали близько 29% і 27% відповідно.</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 первинному ринку житлової нерухомості в Києві, квартири, як правило, пропонуються без обробки. Винятком являється нещодавно побудований багатоквартирний житловий комплекс економ-класу «Паркові </w:t>
      </w:r>
      <w:r w:rsidRPr="00C8397D">
        <w:rPr>
          <w:rFonts w:ascii="Times New Roman" w:hAnsi="Times New Roman"/>
          <w:sz w:val="28"/>
          <w:szCs w:val="28"/>
          <w:lang w:val="ru-RU"/>
        </w:rPr>
        <w:lastRenderedPageBreak/>
        <w:t>Озера», в якому квартири пропонуються з ремонтом та встановленою кухнею. Девелопером проекту виступає українська компанія «Інтеграл-Буд». Іншими проектами житлових комплексів у середній ціновій категорії, де забудовник пропонує квартири на високому рівні готовності є жилий комплекс Park Avenue ізраїльської компанії Seven Hills, та жилий комплекс River Stone української компанії KAN Development.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Згідно з чинним Генеральним планом розвитку Києва до 2020 року, середній розмір квартири в столиці планується збільшити з </w:t>
      </w:r>
      <w:smartTag w:uri="urn:schemas-microsoft-com:office:smarttags" w:element="metricconverter">
        <w:smartTagPr>
          <w:attr w:name="ProductID" w:val="51 кв. м"/>
        </w:smartTagPr>
        <w:r w:rsidRPr="00C8397D">
          <w:rPr>
            <w:rFonts w:ascii="Times New Roman" w:hAnsi="Times New Roman"/>
            <w:sz w:val="28"/>
            <w:szCs w:val="28"/>
            <w:lang w:val="ru-RU"/>
          </w:rPr>
          <w:t>51 кв. м</w:t>
        </w:r>
      </w:smartTag>
      <w:r w:rsidRPr="00C8397D">
        <w:rPr>
          <w:rFonts w:ascii="Times New Roman" w:hAnsi="Times New Roman"/>
          <w:sz w:val="28"/>
          <w:szCs w:val="28"/>
          <w:lang w:val="ru-RU"/>
        </w:rPr>
        <w:t xml:space="preserve"> до </w:t>
      </w:r>
      <w:smartTag w:uri="urn:schemas-microsoft-com:office:smarttags" w:element="metricconverter">
        <w:smartTagPr>
          <w:attr w:name="ProductID" w:val="62 кв. м"/>
        </w:smartTagPr>
        <w:r w:rsidRPr="00C8397D">
          <w:rPr>
            <w:rFonts w:ascii="Times New Roman" w:hAnsi="Times New Roman"/>
            <w:sz w:val="28"/>
            <w:szCs w:val="28"/>
            <w:lang w:val="ru-RU"/>
          </w:rPr>
          <w:t>62 кв. м</w:t>
        </w:r>
      </w:smartTag>
      <w:r w:rsidRPr="00C8397D">
        <w:rPr>
          <w:rFonts w:ascii="Times New Roman" w:hAnsi="Times New Roman"/>
          <w:sz w:val="28"/>
          <w:szCs w:val="28"/>
          <w:lang w:val="ru-RU"/>
        </w:rPr>
        <w:t xml:space="preserve">. Дана ціль відображає показник зареєстрований в інших столицях Центральної та східної Європи. Наприклад, середній зареєстрований розмір звичайного житла у Варшаві становить </w:t>
      </w:r>
      <w:smartTag w:uri="urn:schemas-microsoft-com:office:smarttags" w:element="metricconverter">
        <w:smartTagPr>
          <w:attr w:name="ProductID" w:val="56,6 кв. м"/>
        </w:smartTagPr>
        <w:r w:rsidRPr="00C8397D">
          <w:rPr>
            <w:rFonts w:ascii="Times New Roman" w:hAnsi="Times New Roman"/>
            <w:sz w:val="28"/>
            <w:szCs w:val="28"/>
            <w:lang w:val="ru-RU"/>
          </w:rPr>
          <w:t>56,6 кв. м</w:t>
        </w:r>
      </w:smartTag>
      <w:r w:rsidRPr="00C8397D">
        <w:rPr>
          <w:rFonts w:ascii="Times New Roman" w:hAnsi="Times New Roman"/>
          <w:sz w:val="28"/>
          <w:szCs w:val="28"/>
          <w:lang w:val="ru-RU"/>
        </w:rPr>
        <w:t xml:space="preserve">, а в Будапешті цей показник становить </w:t>
      </w:r>
      <w:smartTag w:uri="urn:schemas-microsoft-com:office:smarttags" w:element="metricconverter">
        <w:smartTagPr>
          <w:attr w:name="ProductID" w:val="67 кв. м"/>
        </w:smartTagPr>
        <w:r w:rsidRPr="00C8397D">
          <w:rPr>
            <w:rFonts w:ascii="Times New Roman" w:hAnsi="Times New Roman"/>
            <w:sz w:val="28"/>
            <w:szCs w:val="28"/>
            <w:lang w:val="ru-RU"/>
          </w:rPr>
          <w:t>67 кв. м</w:t>
        </w:r>
      </w:smartTag>
      <w:r w:rsidRPr="00C8397D">
        <w:rPr>
          <w:rFonts w:ascii="Times New Roman" w:hAnsi="Times New Roman"/>
          <w:sz w:val="28"/>
          <w:szCs w:val="28"/>
          <w:lang w:val="ru-RU"/>
        </w:rPr>
        <w:t>.</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За той же період часу, житловий фонд на душу населення в Києві повинен збільшитися до </w:t>
      </w:r>
      <w:smartTag w:uri="urn:schemas-microsoft-com:office:smarttags" w:element="metricconverter">
        <w:smartTagPr>
          <w:attr w:name="ProductID" w:val="35 кв. м"/>
        </w:smartTagPr>
        <w:r w:rsidRPr="00C8397D">
          <w:rPr>
            <w:rFonts w:ascii="Times New Roman" w:hAnsi="Times New Roman"/>
            <w:sz w:val="28"/>
            <w:szCs w:val="28"/>
            <w:lang w:val="ru-RU"/>
          </w:rPr>
          <w:t>35 кв. м</w:t>
        </w:r>
      </w:smartTag>
      <w:r w:rsidRPr="00C8397D">
        <w:rPr>
          <w:rFonts w:ascii="Times New Roman" w:hAnsi="Times New Roman"/>
          <w:sz w:val="28"/>
          <w:szCs w:val="28"/>
          <w:lang w:val="ru-RU"/>
        </w:rPr>
        <w:t xml:space="preserve">, у той час як в кінці березня 2012 року цей показник склав </w:t>
      </w:r>
      <w:smartTag w:uri="urn:schemas-microsoft-com:office:smarttags" w:element="metricconverter">
        <w:smartTagPr>
          <w:attr w:name="ProductID" w:val="21,7 кв. м"/>
        </w:smartTagPr>
        <w:r w:rsidRPr="00C8397D">
          <w:rPr>
            <w:rFonts w:ascii="Times New Roman" w:hAnsi="Times New Roman"/>
            <w:sz w:val="28"/>
            <w:szCs w:val="28"/>
            <w:lang w:val="ru-RU"/>
          </w:rPr>
          <w:t>21,7 кв. м</w:t>
        </w:r>
      </w:smartTag>
      <w:r w:rsidRPr="00C8397D">
        <w:rPr>
          <w:rFonts w:ascii="Times New Roman" w:hAnsi="Times New Roman"/>
          <w:sz w:val="28"/>
          <w:szCs w:val="28"/>
          <w:lang w:val="ru-RU"/>
        </w:rPr>
        <w:t xml:space="preserve"> на душу населення (якщо брати до уваги офіційну кількість населення міста близько 2,8 млн. чоловік). Таким чином, для досягнення мети зазначеної у Генеральному плані розвитку міста Києва до 2020 року, додаткові 37 мільйони квадратних метрів житлової площі повинні бути побудовані у Києві. Наведений вище показник базується на основі офіційних даних загальної чисельності населення в Києві,яка становить близько 2,8 мільйона, у той час як відповідно багатьом експертам реальний показник населення у Києві становить близько 4 мільйонів жителів, таким чином при інших рівних умовах збільшуючи потребу в житловій площі в місті.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Проблема з житлом і його якістю у Києві були окремо зазначені в проекті Генерального плану розвитку міста Києва до 2025 року. Згідно з документом, однією з основних проблем розвитку у Києві є диспропорція між місцем проживання і роботою мешканців міста. Таким чином, на лівому березі Дніпра, в межах Києва живе і працює відповідно 36,2% і 19,7% від загальної чисельності населення міста, а на правому березі живе і працює </w:t>
      </w:r>
      <w:r w:rsidRPr="00C8397D">
        <w:rPr>
          <w:rFonts w:ascii="Times New Roman" w:hAnsi="Times New Roman"/>
          <w:sz w:val="28"/>
          <w:szCs w:val="28"/>
          <w:lang w:val="ru-RU"/>
        </w:rPr>
        <w:lastRenderedPageBreak/>
        <w:t>відповідно 63,8% і 81,3% жителів Києва . Таким чином, щоденна міграція жителів міста від місця проживання до місця роботи приводить до надмірного тиску на мости, магістралі і громадський транспорт.</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Інші міські проблеми і тенденції розвитку, що відносяться до подальшого розвитку ринку житлової нерухомості в Києві, які були зареєстровані в період 2002-2010 років і підкреслені в проекті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Генеральний плану розвитку міста Києва до 2025 року включає наступне:</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Загальний житловий фонд в Києві складає 60 мільйонів квадратних метрів, на той час як загальний житловий фонд на душу населення в місті досягає лише 21,7 кв.</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Рівень забезпечення соціально побутової інфраструктури вважається дуже низьким, особливо у віддалених житлових районах на правому та лівому берегах Дніпра в Києві.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Обсяг зелених насаджень загального користування у Києві складає </w:t>
      </w:r>
      <w:smartTag w:uri="urn:schemas-microsoft-com:office:smarttags" w:element="metricconverter">
        <w:smartTagPr>
          <w:attr w:name="ProductID" w:val="14,4 кв. м"/>
        </w:smartTagPr>
        <w:r w:rsidRPr="00C8397D">
          <w:rPr>
            <w:rFonts w:ascii="Times New Roman" w:hAnsi="Times New Roman"/>
            <w:sz w:val="28"/>
            <w:szCs w:val="28"/>
            <w:lang w:val="ru-RU"/>
          </w:rPr>
          <w:t>14,4 кв. м</w:t>
        </w:r>
      </w:smartTag>
      <w:r w:rsidRPr="00C8397D">
        <w:rPr>
          <w:rFonts w:ascii="Times New Roman" w:hAnsi="Times New Roman"/>
          <w:sz w:val="28"/>
          <w:szCs w:val="28"/>
          <w:lang w:val="ru-RU"/>
        </w:rPr>
        <w:t xml:space="preserve"> на душу населення порівняно з необхідними </w:t>
      </w:r>
      <w:smartTag w:uri="urn:schemas-microsoft-com:office:smarttags" w:element="metricconverter">
        <w:smartTagPr>
          <w:attr w:name="ProductID" w:val="20 кв. м"/>
        </w:smartTagPr>
        <w:r w:rsidRPr="00C8397D">
          <w:rPr>
            <w:rFonts w:ascii="Times New Roman" w:hAnsi="Times New Roman"/>
            <w:sz w:val="28"/>
            <w:szCs w:val="28"/>
            <w:lang w:val="ru-RU"/>
          </w:rPr>
          <w:t>20 кв. м</w:t>
        </w:r>
      </w:smartTag>
      <w:r w:rsidRPr="00C8397D">
        <w:rPr>
          <w:rFonts w:ascii="Times New Roman" w:hAnsi="Times New Roman"/>
          <w:sz w:val="28"/>
          <w:szCs w:val="28"/>
          <w:lang w:val="ru-RU"/>
        </w:rPr>
        <w:t>.</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Загальний житловий фонд і нова пропозиція недорогих житлових приміщень у Києві не відповідають реальним потребам міста.</w:t>
      </w:r>
    </w:p>
    <w:p w:rsidR="00192005" w:rsidRPr="00C8397D" w:rsidRDefault="00192005" w:rsidP="0019200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Програма "Доступне житло"</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квітні 2012 року Кабінет Міністрів України прийняв програму «Доступне житло», згідно з якою певна група населення має право на іпотечні кредити під 3% річних. Відповідно до програми, термін кредиту не повинен перевищувати 10 років, а процентна ставка за заставною повинна бути нижче 16% річних, 13% з яких будуть компенсовані державою. Початковий внесок не повинен перевищувати 25% від загальної суми кредиту.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Нормативна площа квартири в рамках програми не повинна перевищувати 58 квадратних метрів, що складає </w:t>
      </w:r>
      <w:smartTag w:uri="urn:schemas-microsoft-com:office:smarttags" w:element="metricconverter">
        <w:smartTagPr>
          <w:attr w:name="ProductID" w:val="40 кв. м"/>
        </w:smartTagPr>
        <w:r w:rsidRPr="00C8397D">
          <w:rPr>
            <w:rFonts w:ascii="Times New Roman" w:hAnsi="Times New Roman"/>
            <w:sz w:val="28"/>
            <w:szCs w:val="28"/>
            <w:lang w:val="ru-RU"/>
          </w:rPr>
          <w:t>40 кв. м</w:t>
        </w:r>
      </w:smartTag>
      <w:r w:rsidRPr="00C8397D">
        <w:rPr>
          <w:rFonts w:ascii="Times New Roman" w:hAnsi="Times New Roman"/>
          <w:sz w:val="28"/>
          <w:szCs w:val="28"/>
          <w:lang w:val="ru-RU"/>
        </w:rPr>
        <w:t xml:space="preserve"> на людину чи сім’ю з 2 чоловік, плюс </w:t>
      </w:r>
      <w:smartTag w:uri="urn:schemas-microsoft-com:office:smarttags" w:element="metricconverter">
        <w:smartTagPr>
          <w:attr w:name="ProductID" w:val="18 кв. м"/>
        </w:smartTagPr>
        <w:r w:rsidRPr="00C8397D">
          <w:rPr>
            <w:rFonts w:ascii="Times New Roman" w:hAnsi="Times New Roman"/>
            <w:sz w:val="28"/>
            <w:szCs w:val="28"/>
            <w:lang w:val="ru-RU"/>
          </w:rPr>
          <w:t>18 кв. м</w:t>
        </w:r>
      </w:smartTag>
      <w:r w:rsidRPr="00C8397D">
        <w:rPr>
          <w:rFonts w:ascii="Times New Roman" w:hAnsi="Times New Roman"/>
          <w:sz w:val="28"/>
          <w:szCs w:val="28"/>
          <w:lang w:val="ru-RU"/>
        </w:rPr>
        <w:t xml:space="preserve"> на кожного наступного члена сім'ї.</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Нормативна, максимальна ціна на житло за програмою складає для </w:t>
      </w:r>
      <w:r w:rsidRPr="00C8397D">
        <w:rPr>
          <w:rFonts w:ascii="Times New Roman" w:hAnsi="Times New Roman"/>
          <w:sz w:val="28"/>
          <w:szCs w:val="28"/>
          <w:lang w:val="ru-RU"/>
        </w:rPr>
        <w:lastRenderedPageBreak/>
        <w:t>Києва 7000 грн. за кв. м (еквівалент $ 886), для Київської області - по 5000 грн. за кв. м ($ 633), для інших населених пунктів в Україні – 4000 грн за кв. м. (еквівалент $506).</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Загальні коментарі щодо попиту на житлову нерухомість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Будучи столицею України, а також економічним і політичним центром, Київ приваблює найзаможніших людей і молодих фахівців, які утворюють стійкий, але іноді відкладений попит на якісне житло в місті.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Однак дійсний попит на квартири не може бути оцінений правильно у зв'язку з відсутністю державного реєстру фактичних продажів в Україні. Це робить неможливим будь-які судження про обсяги угод на ринку житлової нерухомості, тому ми надаємо загальний огляд основних моделей попиту на квартири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Попит на житлові квартири в місті можна розділити на такі категорії:</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Попит, породжений спекулятивними покупцями, які чекали подальшого зростання цін у період зростання ринку в 2005-2007 роках: цей попит був зосереджений на первинному ринку житлової нерухомості та квартирах для продажу на початковій стадії будівництва зі значними знижками на ціни. Теперішній спекулятивний попит демонструє досить випадкову тенденцію, в основному, включаючи найбільш привабливі пропозиції з "проблемними" цінами, і незалежні від пору року.</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Державні установи, посольства, міжнародні організації, що вимагають житловий фонд високої якості з хорошим розташуванням. Цей попит демонструє випадкову тенденцію.</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Молоді люди, люди середнього віку, сім’ї, які купують їх першу квартиру в Києві: попит сконцентрований як на первинному так і вторинному ринках житлової нерухомості, і залежить від доходів і статусу, зовнішньоекономічних умов та / або іпотечної доступності. Під час кризи попит на ринку в цій категорії показав випадкову тенденцію, реалізовану на пропозиції оптимальної ціні застави.</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Фізичні особи та домогосподарства, які хотіли б поліпшити своє </w:t>
      </w:r>
      <w:r w:rsidRPr="00C8397D">
        <w:rPr>
          <w:rFonts w:ascii="Times New Roman" w:hAnsi="Times New Roman"/>
          <w:sz w:val="28"/>
          <w:szCs w:val="28"/>
          <w:lang w:val="ru-RU"/>
        </w:rPr>
        <w:lastRenderedPageBreak/>
        <w:t>житло: попит сконцентрований як на первинному так і вторинному ринках житлової нерухомості, і залежить від зовнішніх економічних умов та доступності іпотеки. Під час економічного спаду попит з боку цієї категорії показав випадкову тенденцію, що охоплює найкращі пропозиції за розумними цінами.</w:t>
      </w:r>
    </w:p>
    <w:p w:rsidR="00192005" w:rsidRPr="00C8397D" w:rsidRDefault="00192005" w:rsidP="00192005">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Юридичні особи, міжнародні компанії, які купують квартири для тимчасового проживання топ-менеджерів, іноземних співробітників і членів їх сімей: ця категорія попиту в цьому секторі зосереджена на вторинному ринку житлової нерухомості і квартирах з хорошою/високою якістю обробки у реконструйованих житлових будинках XIX-XX століття . Квартири без обробки в недавно побудованих будинках рідко потрібні цій групі покупців у зв'язку з необхідністю додаткового капіталу і часових інвестицій. Попит з боку цієї категорії покупців демонструє стійку тенденцію в періоди економічної діяльності та розширення бізнесу.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Попит на елітну житлову нерухомість вважається найменш уразливим до зовнішніх економічних та фінансових негативних факторів за рахунок низької доступності іпотеки та обмеженої нової пропозиції на цю нерухомість особливо в престижних місцях Києва. Уповільнення динаміки попиту в житловому секторі нерухомості в українській столиці стало особливо очевидним на початку 2009 року, в результаті виведення спекулятивного капіталу з ринку і відсутності потенційних покупців, які сподівались на подальше зниження цін. Це, в свою чергу, призвело до зниження цін, які впали в середньому на 30-50% в доларах США до кінця 2009 року, а також тривалому терміну експозиції квартир.</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і першій половині 2012 року попит на житло в Києві, в основному був зосереджений на невеликих (45-</w:t>
      </w:r>
      <w:smartTag w:uri="urn:schemas-microsoft-com:office:smarttags" w:element="metricconverter">
        <w:smartTagPr>
          <w:attr w:name="ProductID" w:val="60 кв. м"/>
        </w:smartTagPr>
        <w:r w:rsidRPr="00C8397D">
          <w:rPr>
            <w:rFonts w:ascii="Times New Roman" w:hAnsi="Times New Roman"/>
            <w:sz w:val="28"/>
            <w:szCs w:val="28"/>
            <w:lang w:val="ru-RU"/>
          </w:rPr>
          <w:t>60 кв. м</w:t>
        </w:r>
      </w:smartTag>
      <w:r w:rsidRPr="00C8397D">
        <w:rPr>
          <w:rFonts w:ascii="Times New Roman" w:hAnsi="Times New Roman"/>
          <w:sz w:val="28"/>
          <w:szCs w:val="28"/>
          <w:lang w:val="ru-RU"/>
        </w:rPr>
        <w:t>.), але якісних квартирах, часто в недавно побудованих житлових комплексах.</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Переважна більшість угод в секторі житлової нерухомості в Києві в даний час формується кінцевими користувачами житла м (на відміну від спекулятивного попиту, спостережуваного у до кризові часи).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У той же час, незважаючи на економічну кризу, багато людей в Україні відають перевагу інвестиціям у житлову нерухомість зважаючи на масові вподобання володіння жилою нерухомістю над її орендою, коливання курсів валют, недовіри до банківської системи, та загальної економічної та політичної невпевненості в країні. Житлова нерухомість в Києві багатьма людьми сприймається чи як не найкращій вид інвестицій.</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Потенційні покупці квартир в Києві зараз дуже обережні та розбірливі на предмет співвідношення ціни до якості. У той час як у 2004-2007 роках більшість квартир продавалась на початковій стадії будівництва, що було показником ажіотажу у секторі і мало надзвичайно спекулятивний характер, у той час як, на даному етапі розвитку ринка жилої нерухомості, покупці є дуже обережні та вважають за краще купувати житло на вторинному ринку, або на більш пізній стадії будівництва. Причиною тому є, як і раніше, високі ціни, високі ризики затримки будівництва, а також відсутність гарантій закінчення будівництва в цілому (наприклад, справа «Еліта-Центр»).</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 2011 року була відмічена тенденція, де житлові забудовники у Києві поступово завойовують довіру, і все більше людей готові купити квартиру до введення в експлуатацію в багатоквартирних житлових комплексах, при умові, що девелопером є відома компанія з перевіреною репутацією.</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Середня кількість людей в одній сім’ї в Києві складає 2,56 та 2,57 осіб у 2009 та 2010 роках відповідно. В українській столиці, кількість сімей, які складаються з 1, 2, 3 та 4 і більше осіб майже однакова, що означає, що попит повинен існувати на всі категорії квартир за кількістю кімнат.</w:t>
      </w:r>
    </w:p>
    <w:p w:rsidR="00192005" w:rsidRPr="00C8397D" w:rsidRDefault="00192005" w:rsidP="00192005">
      <w:pPr>
        <w:spacing w:after="0" w:line="360" w:lineRule="auto"/>
        <w:ind w:firstLine="709"/>
        <w:jc w:val="both"/>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5476875" cy="148844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l="3949" t="30070" r="55634" b="50400"/>
                    <a:stretch>
                      <a:fillRect/>
                    </a:stretch>
                  </pic:blipFill>
                  <pic:spPr bwMode="auto">
                    <a:xfrm>
                      <a:off x="0" y="0"/>
                      <a:ext cx="5476875" cy="148844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4.3.5.5 - Середній розмір родин у Києві за кількістю осіб</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Родини з дітьми до 18 років складають більше ніж 34% від загальної </w:t>
      </w:r>
      <w:r w:rsidRPr="00C8397D">
        <w:rPr>
          <w:rFonts w:ascii="Times New Roman" w:hAnsi="Times New Roman"/>
          <w:sz w:val="28"/>
          <w:szCs w:val="28"/>
          <w:lang w:val="ru-RU"/>
        </w:rPr>
        <w:lastRenderedPageBreak/>
        <w:t>кількості сімей Києва до 2010 року.</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200400" cy="16440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l="3926" t="32277" r="74870" b="48314"/>
                    <a:stretch>
                      <a:fillRect/>
                    </a:stretch>
                  </pic:blipFill>
                  <pic:spPr bwMode="auto">
                    <a:xfrm>
                      <a:off x="0" y="0"/>
                      <a:ext cx="3200400" cy="164401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4.3.5.6 - Структура родин у Києві за наявністю дітей</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Огляд цін на багатоквартирну житлову нерухомість у києві.</w:t>
      </w:r>
    </w:p>
    <w:p w:rsidR="00192005" w:rsidRPr="00C8397D" w:rsidRDefault="00192005" w:rsidP="0019200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Загальний огляд історії динаміки цін</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Ціни на житлову нерухомість як на первинному так і вторинному ринках у Києві постійно зростали до 2007 року. Протягом перших дев'яти місяців 2008 року ціни на різні типи житлової нерухомості залишалися в цілому стабільними, в той час як в четвертому кварталі 2008 року, будівельні роботи в секторі сповільнилися і попит був ослаблений в результаті посиленої фінансової кризи.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четвертому кварталі 2008 року, падіння цін на житло в Києві мало значний вплив на вторинний ринок жилої нерухомості, у той час як на первинному ринку зміни цін були менш серйозними, так як багато хто з розробників зайняли «вичікувальну» позицію. Вплив нових ринкових умов на девелоперов жилої нерухомості в Києві залежало від їх фінансового положення: ті, хто забезпечив фінансування навіть збільшив ціни на квартири, в той час як інші (більшість) почали пропонувати більш привабливі умови для потенційних покупців, а саме: зафіксовані ціни в гривні, ціни вказані в доларах США за курсом нижче ніж на ринку, поетапну оплату вартості житла, суттєві знижки на останніх стадіях переговорів, та інші.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 точки зору попиту на ринку, в кінці 2008 року стало очевидно, що купівельна спроможність на ринку житлової нерухомості значно ослабла у зв'язку з економічною кризою, а також як результат введення комерційними банками збільшених ставок та більш жорстких умов отримання іпотечного </w:t>
      </w:r>
      <w:r w:rsidRPr="00C8397D">
        <w:rPr>
          <w:rFonts w:ascii="Times New Roman" w:hAnsi="Times New Roman"/>
          <w:sz w:val="28"/>
          <w:szCs w:val="28"/>
          <w:lang w:val="ru-RU"/>
        </w:rPr>
        <w:lastRenderedPageBreak/>
        <w:t>кредитування у всіх доступних валютах. У четвертому кварталі 2008 року ставки за іпотечними кредитами склали близько 20-30% в гривні і 14-20% в доларах США і Євро. Крім того, комерційні банки стали дуже вибагливі щодо потенційних іпотечних позичальників, вимагаючи додаткові документи, що підтверджують їх купівельну спроможність і впроваджуючи жорсткі вимоги за віком і станом здоров'я.</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Деякі комерційні банки перестали надавати іпотечні кредити на первинному ринку житлової нерухомості, а деякі з них працювали тільки з забудовниками житлової нерухомості, з якими були в партнерстві.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Як результат спекулятивні покупки житлових приміщень, які були дуже поширені у 2004-2007 роках, з кінця 2008 року майже зникли з ринку житлової нерухомості в Києві.</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2009 році негативні тенденції, викликані світовою кризою, продовжували впливати на ринок житлової нерухомості Києва. Більшість іпотечних програм було припинено, і попит на житло знижувався далі. Забудовники змушені були переглянути свої проекти (наприклад, призупинити або продати деякі з них), а також скоротити чисельність своїх співробітників.</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березні 2009 року комерційні банки перестали надавати іпотечні кредити на первинному і вторинному ринках житлової нерухомості в Києві і Україні в цілому.</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Ринок житлової нерухомості в українській столиці повністю перетворився з «ринка продавця» на «ринок покупця» в 2009 році. Більшість потенційних покупців квартир зайняли «вичікувальну позицію» сподіваючись на подальше зниження цін, і це привело до невеликого обсягу угод купівлі-продажу на ринку житлової нерухомості в Києві. Через низький попит на квартири, середній термін експозиції квартир на вторинному ринку виріс більш ніж в двічі. Крім того, інвестиційний продаж квартир на ранній стадії будівництва був припинений майже повністю. Загалом протягом 2009 року ціни на житлову нерухомість на вторинному ринку знизилися приблизно на </w:t>
      </w:r>
      <w:r w:rsidRPr="00C8397D">
        <w:rPr>
          <w:rFonts w:ascii="Times New Roman" w:hAnsi="Times New Roman"/>
          <w:sz w:val="28"/>
          <w:szCs w:val="28"/>
          <w:lang w:val="ru-RU"/>
        </w:rPr>
        <w:lastRenderedPageBreak/>
        <w:t>50% в річному численні в долларовому еквіваленті.</w:t>
      </w:r>
    </w:p>
    <w:p w:rsidR="00192005" w:rsidRPr="00C8397D" w:rsidRDefault="00192005" w:rsidP="0019200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extent cx="3881120" cy="2694305"/>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extLst>
                        <a:ext uri="{28A0092B-C50C-407E-A947-70E740481C1C}">
                          <a14:useLocalDpi xmlns:a14="http://schemas.microsoft.com/office/drawing/2010/main" val="0"/>
                        </a:ext>
                      </a:extLst>
                    </a:blip>
                    <a:srcRect l="2757" t="36041" r="72899" b="34019"/>
                    <a:stretch>
                      <a:fillRect/>
                    </a:stretch>
                  </pic:blipFill>
                  <pic:spPr bwMode="auto">
                    <a:xfrm>
                      <a:off x="0" y="0"/>
                      <a:ext cx="3881120" cy="269430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4.3.5</w:t>
      </w:r>
      <w:r w:rsidRPr="00C8397D">
        <w:rPr>
          <w:rFonts w:ascii="Times New Roman" w:hAnsi="Times New Roman"/>
          <w:sz w:val="28"/>
          <w:szCs w:val="28"/>
          <w:lang w:val="ru-RU"/>
        </w:rPr>
        <w:t>.7 - Середні ціни на квартири в Києві, за адміністративними регіонами</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ціни вказані станом на 1 січня кожного з років. охоплених дослідженням</w:t>
      </w:r>
    </w:p>
    <w:p w:rsidR="00192005" w:rsidRPr="00C8397D" w:rsidRDefault="00192005" w:rsidP="0019200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w:t>
      </w:r>
      <w:r w:rsidRPr="00C8397D">
        <w:rPr>
          <w:rFonts w:ascii="Times New Roman" w:hAnsi="Times New Roman"/>
          <w:sz w:val="28"/>
          <w:szCs w:val="28"/>
          <w:lang w:val="ru-RU"/>
        </w:rPr>
        <w:t>.5.1 - Середні ціни на квартири в Києві, за адміністративними районами, у $ за кв. 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3"/>
        <w:gridCol w:w="846"/>
        <w:gridCol w:w="846"/>
        <w:gridCol w:w="846"/>
        <w:gridCol w:w="846"/>
        <w:gridCol w:w="911"/>
        <w:gridCol w:w="911"/>
        <w:gridCol w:w="911"/>
        <w:gridCol w:w="911"/>
      </w:tblGrid>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noProof/>
                <w:color w:val="000000"/>
                <w:spacing w:val="3"/>
                <w:sz w:val="28"/>
                <w:szCs w:val="28"/>
                <w:lang w:val="uk-UA"/>
              </w:rPr>
            </w:pPr>
            <w:r w:rsidRPr="00C8397D">
              <w:rPr>
                <w:rFonts w:ascii="Times New Roman" w:hAnsi="Times New Roman"/>
                <w:noProof/>
                <w:color w:val="000000"/>
                <w:spacing w:val="3"/>
                <w:sz w:val="28"/>
                <w:szCs w:val="28"/>
                <w:lang w:val="uk-UA"/>
              </w:rPr>
              <w:t>Райони</w:t>
            </w:r>
          </w:p>
        </w:tc>
        <w:tc>
          <w:tcPr>
            <w:tcW w:w="478"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2009</w:t>
            </w:r>
          </w:p>
        </w:tc>
        <w:tc>
          <w:tcPr>
            <w:tcW w:w="454"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2010</w:t>
            </w:r>
          </w:p>
        </w:tc>
        <w:tc>
          <w:tcPr>
            <w:tcW w:w="410"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2011</w:t>
            </w:r>
          </w:p>
        </w:tc>
        <w:tc>
          <w:tcPr>
            <w:tcW w:w="412"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2012</w:t>
            </w:r>
          </w:p>
        </w:tc>
        <w:tc>
          <w:tcPr>
            <w:tcW w:w="438"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2013*</w:t>
            </w:r>
          </w:p>
        </w:tc>
        <w:tc>
          <w:tcPr>
            <w:tcW w:w="480"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2014*</w:t>
            </w:r>
          </w:p>
        </w:tc>
        <w:tc>
          <w:tcPr>
            <w:tcW w:w="484"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2015*</w:t>
            </w:r>
          </w:p>
        </w:tc>
        <w:tc>
          <w:tcPr>
            <w:tcW w:w="478"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2016*</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Дніпров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241</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061</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738</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780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816</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870</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926</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984</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043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5"/>
                <w:sz w:val="28"/>
                <w:szCs w:val="28"/>
              </w:rPr>
              <w:t>Десня</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832</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554</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489</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500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530</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576</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623</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672</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722</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2"/>
                <w:sz w:val="28"/>
                <w:szCs w:val="28"/>
              </w:rPr>
              <w:t>Дарни</w:t>
            </w:r>
            <w:r w:rsidRPr="00C8397D">
              <w:rPr>
                <w:rFonts w:ascii="Times New Roman" w:hAnsi="Times New Roman"/>
                <w:noProof/>
                <w:color w:val="000000"/>
                <w:spacing w:val="4"/>
                <w:sz w:val="28"/>
                <w:szCs w:val="28"/>
              </w:rPr>
              <w:t>цьки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684</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716</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543</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535</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566</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613</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661</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711</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762</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8"/>
                <w:sz w:val="28"/>
                <w:szCs w:val="28"/>
              </w:rPr>
              <w:t>Голос</w:t>
            </w:r>
            <w:r w:rsidRPr="00C8397D">
              <w:rPr>
                <w:rFonts w:ascii="Times New Roman" w:hAnsi="Times New Roman"/>
                <w:noProof/>
                <w:color w:val="000000"/>
                <w:spacing w:val="5"/>
                <w:sz w:val="28"/>
                <w:szCs w:val="28"/>
              </w:rPr>
              <w:t>іїв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998</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059</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591</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700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754</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837</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922</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009</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100</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Пече</w:t>
            </w:r>
            <w:r w:rsidRPr="00C8397D">
              <w:rPr>
                <w:rFonts w:ascii="Times New Roman" w:hAnsi="Times New Roman"/>
                <w:noProof/>
                <w:color w:val="000000"/>
                <w:spacing w:val="6"/>
                <w:sz w:val="28"/>
                <w:szCs w:val="28"/>
              </w:rPr>
              <w:t>рс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900</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449</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090</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100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223</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434</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656</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889</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5</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133</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Поділь</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761</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782</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120</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100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142</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206</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272</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341</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411</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Солом</w:t>
            </w:r>
            <w:r w:rsidRPr="00C8397D">
              <w:rPr>
                <w:rFonts w:ascii="Times New Roman" w:hAnsi="Times New Roman"/>
                <w:noProof/>
                <w:color w:val="000000"/>
                <w:spacing w:val="-1"/>
                <w:w w:val="94"/>
                <w:position w:val="3"/>
                <w:sz w:val="28"/>
                <w:szCs w:val="28"/>
              </w:rPr>
              <w:t>’</w:t>
            </w:r>
            <w:r w:rsidRPr="00C8397D">
              <w:rPr>
                <w:rFonts w:ascii="Times New Roman" w:hAnsi="Times New Roman"/>
                <w:noProof/>
                <w:color w:val="000000"/>
                <w:spacing w:val="6"/>
                <w:sz w:val="28"/>
                <w:szCs w:val="28"/>
              </w:rPr>
              <w:t>ян</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221</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133</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895</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900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938</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996</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056</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118</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181</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1"/>
                <w:sz w:val="28"/>
                <w:szCs w:val="28"/>
              </w:rPr>
              <w:t>Свя</w:t>
            </w:r>
            <w:r w:rsidRPr="00C8397D">
              <w:rPr>
                <w:rFonts w:ascii="Times New Roman" w:hAnsi="Times New Roman"/>
                <w:noProof/>
                <w:color w:val="000000"/>
                <w:spacing w:val="5"/>
                <w:sz w:val="28"/>
                <w:szCs w:val="28"/>
              </w:rPr>
              <w:t>т</w:t>
            </w:r>
            <w:r w:rsidRPr="00C8397D">
              <w:rPr>
                <w:rFonts w:ascii="Times New Roman" w:hAnsi="Times New Roman"/>
                <w:noProof/>
                <w:color w:val="000000"/>
                <w:sz w:val="28"/>
                <w:szCs w:val="28"/>
              </w:rPr>
              <w:t>ош</w:t>
            </w:r>
            <w:r w:rsidRPr="00C8397D">
              <w:rPr>
                <w:rFonts w:ascii="Times New Roman" w:hAnsi="Times New Roman"/>
                <w:noProof/>
                <w:color w:val="000000"/>
                <w:spacing w:val="2"/>
                <w:sz w:val="28"/>
                <w:szCs w:val="28"/>
              </w:rPr>
              <w:t>ин</w:t>
            </w:r>
            <w:r w:rsidRPr="00C8397D">
              <w:rPr>
                <w:rFonts w:ascii="Times New Roman" w:hAnsi="Times New Roman"/>
                <w:noProof/>
                <w:color w:val="000000"/>
                <w:spacing w:val="7"/>
                <w:sz w:val="28"/>
                <w:szCs w:val="28"/>
              </w:rPr>
              <w:t>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032</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015</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832</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820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856</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912</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969</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029</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089</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О</w:t>
            </w:r>
            <w:r w:rsidRPr="00C8397D">
              <w:rPr>
                <w:rFonts w:ascii="Times New Roman" w:hAnsi="Times New Roman"/>
                <w:noProof/>
                <w:color w:val="000000"/>
                <w:spacing w:val="5"/>
                <w:sz w:val="28"/>
                <w:szCs w:val="28"/>
              </w:rPr>
              <w:t>боло</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968</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786</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259</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350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397</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469</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543</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619</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698</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Шевче</w:t>
            </w:r>
            <w:r w:rsidRPr="00C8397D">
              <w:rPr>
                <w:rFonts w:ascii="Times New Roman" w:hAnsi="Times New Roman"/>
                <w:noProof/>
                <w:color w:val="000000"/>
                <w:spacing w:val="5"/>
                <w:sz w:val="28"/>
                <w:szCs w:val="28"/>
              </w:rPr>
              <w:t>нківськи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443</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311</w:t>
            </w:r>
          </w:p>
        </w:tc>
        <w:tc>
          <w:tcPr>
            <w:tcW w:w="45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897</w:t>
            </w:r>
          </w:p>
        </w:tc>
        <w:tc>
          <w:tcPr>
            <w:tcW w:w="41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000</w:t>
            </w:r>
          </w:p>
        </w:tc>
        <w:tc>
          <w:tcPr>
            <w:tcW w:w="412"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090</w:t>
            </w:r>
          </w:p>
        </w:tc>
        <w:tc>
          <w:tcPr>
            <w:tcW w:w="43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245</w:t>
            </w:r>
          </w:p>
        </w:tc>
        <w:tc>
          <w:tcPr>
            <w:tcW w:w="480"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407</w:t>
            </w:r>
          </w:p>
        </w:tc>
        <w:tc>
          <w:tcPr>
            <w:tcW w:w="484"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577</w:t>
            </w:r>
          </w:p>
        </w:tc>
        <w:tc>
          <w:tcPr>
            <w:tcW w:w="478"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756</w:t>
            </w:r>
          </w:p>
        </w:tc>
      </w:tr>
    </w:tbl>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ціни вказані станом на 1 січня кожного року дослідження</w:t>
      </w:r>
    </w:p>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Ознаки економічної стабілізації в Україні в першому півріччі 2010 року в поєднанні з відсутністю коливань обмінного курсу призвели до незначного відродження ринку і збільшення кількості переглядів квартир в Києві. Тим не менш, загальна невизначеність на ринку і незначне банківське кредитування протягом 2010 року призвело до подальшого зниження цін на житлову нерухомість в українській столиці.</w:t>
      </w:r>
    </w:p>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Деякі банки в співпраці з певними забудовниками житлової нерухомості ввели спеціальні іпотечні програми надання кредитів покупцям своїх квартир на первинному ринку житлової нерухомості. Вони пропонували ставки іпотечних кредитів на 5-10 базисних пунктів нижче, ніж середньо-ринкові. Однак, якщо забудовник не співпрацював з комерційним банком, позичальники звичайно повинні були забезпечити додаткову заставу нерухомості для забезпечення іпотеки на первинному ринку.</w:t>
      </w:r>
    </w:p>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житлової нерухомості в Києві продемонстрував в цілому позитивну динаміку протягом 2011 року та в першій половині 2012 року. Протягом 2011 року і в першій половині 2012 року ринок житла в Києві побачив відновлення будівництва кількох значних багатоквартирних житлових комплексів, а також початок будівництва нових проектів. У той же час, попит на житлові приміщення в Києві, та середні ціни на різні категорії квартир, в цілому, залишились стабільними.</w:t>
      </w:r>
    </w:p>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Житлові забудовники у Києві поступово завойовують довіру, і все більше людей готові купити квартиру до введення в експлуатацію багатоквартирного житлового комплексу, якщо розробником є відома компанія з перевіреною репутацією. У той же час, багато житлових розробників прагнуть виставити квартири на продаж на більш пізніх стадіях будівництва, в очікуванні, що такий підхід принесе найбільший дохід.</w:t>
      </w:r>
    </w:p>
    <w:p w:rsidR="00192005" w:rsidRPr="00C8397D" w:rsidRDefault="00192005" w:rsidP="00192005">
      <w:pPr>
        <w:tabs>
          <w:tab w:val="left" w:pos="1845"/>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extent cx="4464685" cy="30930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extLst>
                        <a:ext uri="{28A0092B-C50C-407E-A947-70E740481C1C}">
                          <a14:useLocalDpi xmlns:a14="http://schemas.microsoft.com/office/drawing/2010/main" val="0"/>
                        </a:ext>
                      </a:extLst>
                    </a:blip>
                    <a:srcRect l="3929" t="37845" r="73045" b="34055"/>
                    <a:stretch>
                      <a:fillRect/>
                    </a:stretch>
                  </pic:blipFill>
                  <pic:spPr bwMode="auto">
                    <a:xfrm>
                      <a:off x="0" y="0"/>
                      <a:ext cx="4464685" cy="3093085"/>
                    </a:xfrm>
                    <a:prstGeom prst="rect">
                      <a:avLst/>
                    </a:prstGeom>
                    <a:noFill/>
                    <a:ln>
                      <a:noFill/>
                    </a:ln>
                  </pic:spPr>
                </pic:pic>
              </a:graphicData>
            </a:graphic>
          </wp:inline>
        </w:drawing>
      </w:r>
    </w:p>
    <w:p w:rsidR="00192005" w:rsidRPr="00C8397D" w:rsidRDefault="00192005" w:rsidP="00192005">
      <w:pPr>
        <w:tabs>
          <w:tab w:val="left" w:pos="1845"/>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ru-RU"/>
        </w:rPr>
        <w:lastRenderedPageBreak/>
        <w:t>Графік 4.3.5.8</w:t>
      </w:r>
      <w:r w:rsidRPr="00C8397D">
        <w:rPr>
          <w:rFonts w:ascii="Times New Roman" w:hAnsi="Times New Roman"/>
          <w:sz w:val="28"/>
          <w:szCs w:val="28"/>
          <w:lang w:val="ru-RU"/>
        </w:rPr>
        <w:t xml:space="preserve"> - Щорічна динаміка середніх цін на квартири в Києві, за адміністративними районами, у % відношенні щороку</w:t>
      </w:r>
    </w:p>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Показники відображають річну динаміку цін; наприклад, показник за 2009 рік представлений як процентне співвідношення середніх цін за станом на початок 2010 року до цін на початок 2009 року</w:t>
      </w:r>
    </w:p>
    <w:p w:rsidR="00192005" w:rsidRPr="00C8397D" w:rsidRDefault="00192005" w:rsidP="00192005">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w:t>
      </w:r>
      <w:r w:rsidRPr="00C8397D">
        <w:rPr>
          <w:rFonts w:ascii="Times New Roman" w:hAnsi="Times New Roman"/>
          <w:sz w:val="28"/>
          <w:szCs w:val="28"/>
          <w:lang w:val="ru-RU"/>
        </w:rPr>
        <w:t>.5.2 - Щорічна динаміка середніх цін на квартири, за адміністративними районами, , у % відношенні щороку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5"/>
        <w:gridCol w:w="867"/>
        <w:gridCol w:w="822"/>
        <w:gridCol w:w="762"/>
        <w:gridCol w:w="911"/>
        <w:gridCol w:w="911"/>
        <w:gridCol w:w="911"/>
        <w:gridCol w:w="911"/>
        <w:gridCol w:w="911"/>
      </w:tblGrid>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noProof/>
                <w:color w:val="000000"/>
                <w:spacing w:val="3"/>
                <w:sz w:val="28"/>
                <w:szCs w:val="28"/>
                <w:lang w:val="uk-UA"/>
              </w:rPr>
            </w:pPr>
            <w:r w:rsidRPr="00C8397D">
              <w:rPr>
                <w:rFonts w:ascii="Times New Roman" w:hAnsi="Times New Roman"/>
                <w:noProof/>
                <w:color w:val="000000"/>
                <w:spacing w:val="3"/>
                <w:sz w:val="28"/>
                <w:szCs w:val="28"/>
                <w:lang w:val="uk-UA"/>
              </w:rPr>
              <w:t>Райони</w:t>
            </w:r>
          </w:p>
        </w:tc>
        <w:tc>
          <w:tcPr>
            <w:tcW w:w="478"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2009</w:t>
            </w:r>
          </w:p>
        </w:tc>
        <w:tc>
          <w:tcPr>
            <w:tcW w:w="454"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2010</w:t>
            </w:r>
          </w:p>
        </w:tc>
        <w:tc>
          <w:tcPr>
            <w:tcW w:w="410"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2011</w:t>
            </w:r>
          </w:p>
        </w:tc>
        <w:tc>
          <w:tcPr>
            <w:tcW w:w="412"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2012*</w:t>
            </w:r>
          </w:p>
        </w:tc>
        <w:tc>
          <w:tcPr>
            <w:tcW w:w="438"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2013*</w:t>
            </w:r>
          </w:p>
        </w:tc>
        <w:tc>
          <w:tcPr>
            <w:tcW w:w="480"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2014*</w:t>
            </w:r>
          </w:p>
        </w:tc>
        <w:tc>
          <w:tcPr>
            <w:tcW w:w="484"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2015*</w:t>
            </w:r>
          </w:p>
        </w:tc>
        <w:tc>
          <w:tcPr>
            <w:tcW w:w="478" w:type="pct"/>
          </w:tcPr>
          <w:p w:rsidR="00192005" w:rsidRPr="00C8397D" w:rsidRDefault="00192005"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2016*</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Дніпров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241</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-16%</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5"/>
                <w:sz w:val="28"/>
                <w:szCs w:val="28"/>
              </w:rPr>
              <w:t>Десня</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832</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2"/>
                <w:sz w:val="28"/>
                <w:szCs w:val="28"/>
              </w:rPr>
              <w:t>Дарни</w:t>
            </w:r>
            <w:r w:rsidRPr="00C8397D">
              <w:rPr>
                <w:rFonts w:ascii="Times New Roman" w:hAnsi="Times New Roman"/>
                <w:noProof/>
                <w:color w:val="000000"/>
                <w:spacing w:val="4"/>
                <w:sz w:val="28"/>
                <w:szCs w:val="28"/>
              </w:rPr>
              <w:t>цьки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684</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-10%</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8"/>
                <w:sz w:val="28"/>
                <w:szCs w:val="28"/>
              </w:rPr>
              <w:t>Голос</w:t>
            </w:r>
            <w:r w:rsidRPr="00C8397D">
              <w:rPr>
                <w:rFonts w:ascii="Times New Roman" w:hAnsi="Times New Roman"/>
                <w:noProof/>
                <w:color w:val="000000"/>
                <w:spacing w:val="5"/>
                <w:sz w:val="28"/>
                <w:szCs w:val="28"/>
              </w:rPr>
              <w:t>іїв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998</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Пече</w:t>
            </w:r>
            <w:r w:rsidRPr="00C8397D">
              <w:rPr>
                <w:rFonts w:ascii="Times New Roman" w:hAnsi="Times New Roman"/>
                <w:noProof/>
                <w:color w:val="000000"/>
                <w:spacing w:val="6"/>
                <w:sz w:val="28"/>
                <w:szCs w:val="28"/>
              </w:rPr>
              <w:t>рс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900</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Поділь</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761</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-24%</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Солом</w:t>
            </w:r>
            <w:r w:rsidRPr="00C8397D">
              <w:rPr>
                <w:rFonts w:ascii="Times New Roman" w:hAnsi="Times New Roman"/>
                <w:noProof/>
                <w:color w:val="000000"/>
                <w:spacing w:val="-1"/>
                <w:w w:val="94"/>
                <w:position w:val="3"/>
                <w:sz w:val="28"/>
                <w:szCs w:val="28"/>
              </w:rPr>
              <w:t>’</w:t>
            </w:r>
            <w:r w:rsidRPr="00C8397D">
              <w:rPr>
                <w:rFonts w:ascii="Times New Roman" w:hAnsi="Times New Roman"/>
                <w:noProof/>
                <w:color w:val="000000"/>
                <w:spacing w:val="6"/>
                <w:sz w:val="28"/>
                <w:szCs w:val="28"/>
              </w:rPr>
              <w:t>ян</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221</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-11%</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93"/>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1"/>
                <w:sz w:val="28"/>
                <w:szCs w:val="28"/>
              </w:rPr>
              <w:t>Свя</w:t>
            </w:r>
            <w:r w:rsidRPr="00C8397D">
              <w:rPr>
                <w:rFonts w:ascii="Times New Roman" w:hAnsi="Times New Roman"/>
                <w:noProof/>
                <w:color w:val="000000"/>
                <w:spacing w:val="5"/>
                <w:sz w:val="28"/>
                <w:szCs w:val="28"/>
              </w:rPr>
              <w:t>т</w:t>
            </w:r>
            <w:r w:rsidRPr="00C8397D">
              <w:rPr>
                <w:rFonts w:ascii="Times New Roman" w:hAnsi="Times New Roman"/>
                <w:noProof/>
                <w:color w:val="000000"/>
                <w:sz w:val="28"/>
                <w:szCs w:val="28"/>
              </w:rPr>
              <w:t>ош</w:t>
            </w:r>
            <w:r w:rsidRPr="00C8397D">
              <w:rPr>
                <w:rFonts w:ascii="Times New Roman" w:hAnsi="Times New Roman"/>
                <w:noProof/>
                <w:color w:val="000000"/>
                <w:spacing w:val="2"/>
                <w:sz w:val="28"/>
                <w:szCs w:val="28"/>
              </w:rPr>
              <w:t>ин</w:t>
            </w:r>
            <w:r w:rsidRPr="00C8397D">
              <w:rPr>
                <w:rFonts w:ascii="Times New Roman" w:hAnsi="Times New Roman"/>
                <w:noProof/>
                <w:color w:val="000000"/>
                <w:spacing w:val="7"/>
                <w:sz w:val="28"/>
                <w:szCs w:val="28"/>
              </w:rPr>
              <w:t>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032</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О</w:t>
            </w:r>
            <w:r w:rsidRPr="00C8397D">
              <w:rPr>
                <w:rFonts w:ascii="Times New Roman" w:hAnsi="Times New Roman"/>
                <w:noProof/>
                <w:color w:val="000000"/>
                <w:spacing w:val="5"/>
                <w:sz w:val="28"/>
                <w:szCs w:val="28"/>
              </w:rPr>
              <w:t>боло</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968</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-6%</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-19%</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192005" w:rsidRPr="00C8397D" w:rsidTr="00BA5963">
        <w:trPr>
          <w:trHeight w:hRule="exact" w:val="288"/>
        </w:trPr>
        <w:tc>
          <w:tcPr>
            <w:tcW w:w="1365" w:type="pct"/>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Шевче</w:t>
            </w:r>
            <w:r w:rsidRPr="00C8397D">
              <w:rPr>
                <w:rFonts w:ascii="Times New Roman" w:hAnsi="Times New Roman"/>
                <w:noProof/>
                <w:color w:val="000000"/>
                <w:spacing w:val="5"/>
                <w:sz w:val="28"/>
                <w:szCs w:val="28"/>
              </w:rPr>
              <w:t>нківськи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443</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5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-33%</w:t>
            </w:r>
          </w:p>
        </w:tc>
        <w:tc>
          <w:tcPr>
            <w:tcW w:w="41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2"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3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0"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4"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78" w:type="pct"/>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r>
    </w:tbl>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Примітка: Показники відображають річну динаміку цін; наприклад, показник за 2009 рік представлений як процентне співвідношення середніх цін за станом на початок 2010 року до цін на початок 2009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Варіація цін за розташуванням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Розташування грає велику роль у вартості жилої нерухомості</w:t>
      </w:r>
    </w:p>
    <w:p w:rsidR="00192005" w:rsidRPr="00C8397D" w:rsidRDefault="00192005" w:rsidP="00192005">
      <w:pPr>
        <w:spacing w:after="0" w:line="360" w:lineRule="auto"/>
        <w:ind w:firstLine="709"/>
        <w:jc w:val="both"/>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5048885" cy="49415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l="31143" t="12874" r="27510" b="15089"/>
                    <a:stretch>
                      <a:fillRect/>
                    </a:stretch>
                  </pic:blipFill>
                  <pic:spPr bwMode="auto">
                    <a:xfrm>
                      <a:off x="0" y="0"/>
                      <a:ext cx="5048885" cy="4941570"/>
                    </a:xfrm>
                    <a:prstGeom prst="rect">
                      <a:avLst/>
                    </a:prstGeom>
                    <a:noFill/>
                    <a:ln>
                      <a:noFill/>
                    </a:ln>
                  </pic:spPr>
                </pic:pic>
              </a:graphicData>
            </a:graphic>
          </wp:inline>
        </w:drawing>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highlight w:val="yellow"/>
          <w:lang w:val="uk-UA"/>
        </w:rPr>
        <w:t>Рисунок 4.3.</w:t>
      </w:r>
      <w:r w:rsidRPr="00C8397D">
        <w:rPr>
          <w:rFonts w:ascii="Times New Roman" w:hAnsi="Times New Roman"/>
          <w:sz w:val="28"/>
          <w:szCs w:val="28"/>
          <w:lang w:val="uk-UA"/>
        </w:rPr>
        <w:t>5.1 – Середні ціни на житлову нерухомість у Києві станом на червень 2012 року за житловими районами</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Найдорожчі житлові райони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центральній частині Києва кілька житлових районів, як правило, вважаються більш престижними і зручними ніж інші, таким чином, житлові комплекси, (як на первинному так і вторинному ринках), розташована у цих локаціях, як правило, дорожчі ніж в інших житлових районах міста.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Рівень престижу конкретного житлового району визначається декількома факторами: розміщенням в старому історичному районі (наявність знакових архітектурних та історичних пам'яток), розміщенням недалеко від національних та міських урядових будівель, бізнес-центрів, та розкішних торгових / розважальних комплексів,</w:t>
      </w:r>
      <w:r w:rsidRPr="00C8397D">
        <w:rPr>
          <w:rFonts w:ascii="Times New Roman" w:hAnsi="Times New Roman"/>
          <w:sz w:val="28"/>
          <w:szCs w:val="28"/>
          <w:lang w:val="uk-UA"/>
        </w:rPr>
        <w:tab/>
        <w:t>наявністю хорошої транспортної розв’язки, зелених насаджень та віддаленість від промислових об'єктів.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Одним з найпрестижніших районів в центрі міста є район, утворений </w:t>
      </w:r>
      <w:r w:rsidRPr="00C8397D">
        <w:rPr>
          <w:rFonts w:ascii="Times New Roman" w:hAnsi="Times New Roman"/>
          <w:sz w:val="28"/>
          <w:szCs w:val="28"/>
          <w:lang w:val="uk-UA"/>
        </w:rPr>
        <w:lastRenderedPageBreak/>
        <w:t>вулицею Хрещатиком та мікро районом Липки. Хрещатик є головною вулицею Києва, де розташовані будівля міської адміністрації, декілька розкішних торгівельних центрів, та велика кількість історичних місць. Територія Липок вважається однією з найзеленіших, безпечніших і досить тихих районів міста. Основні державні установи (Адміністрація Президента, Верховна Рада та Верховний Суд України) знаходяться в цьому районі. Він легко доступний як для транспортних засобів так і для пішоходів, дві центральні станції метро "Хрещатик" і "Майдан Незалежності" знаходяться в безпосередній близькості від нього. Основними вулицями району Липки є вулиці Лютеранська, Круглоуніверситетська, Інститутська та вулиця Грушевського.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цьому престижному районі існує лише декілька житлових комплексів яки знаходяться на стадії будівництва. Це пояснюється високою щільністю існуючих будівель, та обмеженою кількістю вільного місця, придатного для будівництва, тим самим підвищуючи ексклюзивність і респектабельність будь-якого нового будинку, що виникає в цьому місці. Нові житлові комплекси на цій території позиціонуються як елітні / люкс, а деякі з них побудовані як «клубні будинки» (житлові будинки з закритими дворами і преміум послугами). Типова площа квартир в новій житловій будівлі в цих місцях зазвичай перевищує </w:t>
      </w:r>
      <w:smartTag w:uri="urn:schemas-microsoft-com:office:smarttags" w:element="metricconverter">
        <w:smartTagPr>
          <w:attr w:name="ProductID" w:val="100 кв. м"/>
        </w:smartTagPr>
        <w:r w:rsidRPr="00C8397D">
          <w:rPr>
            <w:rFonts w:ascii="Times New Roman" w:hAnsi="Times New Roman"/>
            <w:sz w:val="28"/>
            <w:szCs w:val="28"/>
            <w:lang w:val="uk-UA"/>
          </w:rPr>
          <w:t>100 кв. м</w:t>
        </w:r>
      </w:smartTag>
      <w:r w:rsidRPr="00C8397D">
        <w:rPr>
          <w:rFonts w:ascii="Times New Roman" w:hAnsi="Times New Roman"/>
          <w:sz w:val="28"/>
          <w:szCs w:val="28"/>
          <w:lang w:val="uk-UA"/>
        </w:rPr>
        <w:t>. Всі нові житлові комплекси мають підземний паркінг, а іноді і невелику наземну паркову для гостей.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Ціни в цьому районі найвищі в місті, та варіюються від $ 2,500-15,000 за кв. м. за квартиру без оздоблення , і до $ 22 000 за повністю обладнані апартаменти з дизайнерською обробкою. У Києві вартість квартир збільшується, чим ближче вони знаходяться до Хрещатика, серця центра міста.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Територія між бульваром Тараса Шевченка і Великою Житомирською вулицею може бути розглянута як другий найпрестижніший район в центральній частині Києва. Цей район розташований на заході та північно-західному напрямку від Хрещатику, простягаючись від Софіївської та </w:t>
      </w:r>
      <w:r w:rsidRPr="00C8397D">
        <w:rPr>
          <w:rFonts w:ascii="Times New Roman" w:hAnsi="Times New Roman"/>
          <w:sz w:val="28"/>
          <w:szCs w:val="28"/>
          <w:lang w:val="uk-UA"/>
        </w:rPr>
        <w:lastRenderedPageBreak/>
        <w:t>Михайлівської площ, та проходячи по вулиці Володимирська у напрямку до бульвару Тараса Шевченка, який перетинає вулиця Б. Хмельницького. У північно-західному напрямку район обмежується Великою Житомирською вулицею. Район славиться рядом відомих історичних пам'яток, а також великою кількістю великих культурних об'єктів, таких як Оперний театр, різні драматичні театри, музеї та парки. Цей непромисловий район вважається важливим діловим центром та розміщує велику кількість посольств.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Район має добре розвинену транспортну інфраструктуру зі зручним доступом до будь-якої точки центрального ділового району та прилеглих до нього вулиць. Є кілька станцій різних ліній метро та залізничного вокзалу, які розташований в безпосередній близькості від цього району. Прилеглі вулиці, а саме Тургенівська і Гоголівська також вважаються респектабельними місцями з дорогими багатоквартирними будівлями.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районі є десятки нових житлових будинків на стадії будівництва або побудованих протягом останніх кількох років. Як і на Липках, територія, яка може бути використана для будівництва нових багатоквартирних житлових комплексів, є досить обмеженою. Більшість нових житлових будинків позиціонуються девелоперами як «елітні» та деякі з них вважаються клубними будинками з відносно високим рівнем комфортності. Ціни на житлову нерухомість в цьому районі залишаються відносно високими, починаючи від 3 000 доларів США (гарна якість оздоблення) до 14 000 доларів США за кв. м (необроблені квартири у новозбудованих будинках “клубного типу").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Третій найпрестижніший житловий район в самому центрі міста розташований між бульваром Шевченка і Великою Васильківською вулицею. Головними вулицями в цьому районі є вулиця Льва Толстого, Велика Васильківська, Саксаганського, Жилянська і вулиця Антоновича (Горького). Площа Льва Толстого, поруч з Ботанічним садом, вважається одним з найпрестижніших житлових районів в місті.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Основною перевагою району є добре розвинута соціальна та транспортна інфраструктури. Ціни на житлову нерухомість у цій локації варіюються від 2 000 доларів США кв. м (на не оздоблені квартири, розташовані у споруджуваних житлових комплексах) до 7 000 доларів США за кв. м (на не оздоблені квартири в недавно побудованих будівлях, розташованих поруч з Ботанічним садом).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Іншими популярним житловими районами Києва є Печерській район та Оболонські Липки. Середні ціни в цих районах в даний час варіюються від 2 000 -7 000 доларів США за кв. м, та 2 200-6 000 доларів США за кв. м відповідно.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Село Козин, розташоване на південній околиці Києва, вважається найпопулярнішим місцем розташування приватних домів в Києві та області. Середні ціни на приватні будинки у селі Козин варіюється від 3 000 доларів США та 9 000 за кв. м (без оздоблення), у той час як ціни на ексклюзивні будинки з дизайнерським оздобленням можуть досягати 15 000 доларів США за квадратний метр.</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Житлові райони середнього рівня доходів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Можна умовно позначити житлові квартали середнього рівня доходів як ті, що знаходяться в більш віддалених районах, прилеглих до елітної житлової території, зазначеної вище. Вони характеризуються доступністю автомобільним та громадським транспортом, наявністю розвиненої соціально-битової інфраструктури, а іноді і близькістю до водойму та / або паркової зони.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житлових районів середнього рівня доходів в Києві, які були умовно визначені для цілей цього звіту, належать наступні: Оболонський район (район окреслений проспектом Героїв Сталінграда та Богатирською вулицею), Поділ, Лук’янівка , площа Перемоги та район Політехнічного Університету.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Іншими житловими районами середнього рівня доходів є території утворені вулицями Жилянською, Саксаганського і Горького, проспектом 40-</w:t>
      </w:r>
      <w:r w:rsidRPr="00C8397D">
        <w:rPr>
          <w:rFonts w:ascii="Times New Roman" w:hAnsi="Times New Roman"/>
          <w:sz w:val="28"/>
          <w:szCs w:val="28"/>
          <w:lang w:val="uk-UA"/>
        </w:rPr>
        <w:lastRenderedPageBreak/>
        <w:t>річчя Жовтня, а також Московською площею.</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Два житлові квартали середнього рівня доходів розташовані на лівому березі Дніпра, саме мікрорайон Лівобережній, Русанівка та Осокорки і Позняки. Ціни на даний тип житлової нерухомості варіюється від 1 200 – 2 500 доларів США за кв.м у мікрорайоні Осокорки та Позняки, до 1 450 – 4 000 доларів США за кв. м на квартири в менш центральних житлових кварталах Шевченківського району.</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Житлові райони середньо-низького рівня доходів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зв'язку з історичним розвитком міської структури Києва, деякі території міста перетворилися на такі, що утворюють комбінацію житла середньої та низької цінової категорій, часто межуючи з промисловими об'єктами та задовольняючись менш якісною доступністю громадським транспортом.</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них відносяться такі житлові квартали, як Мінський, Пріорка, Біличе Поле, Куренівка, Сирець та Нивки. Інші райони з комбінацією житла середньої та низької цінової категорій включають Новобіличи, Біличи, Академмістечко, Святошин, Шулявка. Такі підрайони як Казенні і Караваєві дачі, Першотравневий, Протасов, Слобідка і Сойки також сприймаються як райони з комбінацією житла середньої та низької цінової категорій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Ці території можна охарактеризувати як популярні житлові райони міста, які є забудовані багатоквартирними будинками радянських часів низької якості. Ціни в цих місцях варіюються від $ 800 до 3 000 доларів США за квадратний метр, залежно від якості, обробки і особливостей розміщення.</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Житлових райони низького рівня доходів</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Це території, які вважаються суто спальними районами побудованими за радянські часи і, як правило, розташованими поза пішохідної доступності від станції метро. Житлові райони низького рівня доходів включають наступні: Виноградар, Борщагівка, Теремки, Дарниця, Лісовий Масив, Воскресенка та Троещина.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Середні ціни на житло в багатоквартирних житлових будинках у цих </w:t>
      </w:r>
      <w:r w:rsidRPr="00C8397D">
        <w:rPr>
          <w:rFonts w:ascii="Times New Roman" w:hAnsi="Times New Roman"/>
          <w:sz w:val="28"/>
          <w:szCs w:val="28"/>
          <w:lang w:val="uk-UA"/>
        </w:rPr>
        <w:lastRenderedPageBreak/>
        <w:t>районах коливаються від 670 доларів США за кв.м до 2 400 доларів за кв. м.</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Перспективи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Подальший розвиток ринку житлової нерухомості в Києві і Україні в цілому важко передбачити в першу чергу через відсутність чітких показників попиту і кількості угод купівлі-продажу в цьому секторі, а також через загальну економічну невизначеність.</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Однак, очевидно, що ринок житлової нерухомості в Києві залишається ненасиченим, з точки зору загального обсягу приміщень на душу населення, їх якості і різноманітності формату, а також через відкладений попит, нереалізований через відсутність кредитного фінансування, та досі високих цін в порівнянні з середніми доходами населення.</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ринку житлової нерухомості в Києві є багато можливостей будівництва доступного житла, а також якісного житла середнього рівня доходу з усіма зручностями та ефективною прибудинковою територією.</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Крім того, як уже згадувалося вище, багато людей в Києві вважають за краще вкладати свої фінансові заощадження в житлову нерухомість зважаючи на масові вподобання володіння жилою нерухомістю над її орендою, коливання курсів валют, недовіри до банківської системи, та загальної економічної та політичної невпевненості в країні.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минулому, в період 2001-2008 років щорічна пропозиція на ринку житлової нерухомості в Києві складала від 1 до 1,4 млн. м. кв. У зв'язку з фінансовою кризою в секторі було зафіксовано зниження річної пропозиції, яка склала до 950 тис. квадратних метрів у 2009 році і більше 1 млн. кв. м в 2010 році.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думку експертів цей показник у 2012-2020 у Києві буде не менше 900 тис. кв. м, варіюючись від 900 тис. до 1 500 тис. кв. м в рік.</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Прогнози щодо майбутньої динаміки цін на житлову нерухомість в Києві, основуючись на загальних припущеннях, викладених нижче:</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 xml:space="preserve">У 2012 році українська економіка продовжить відновлюватися відносно невисокими темпами, і економічне зростання складе 1-3%, в той час </w:t>
      </w:r>
      <w:r w:rsidRPr="00C8397D">
        <w:rPr>
          <w:rFonts w:ascii="Times New Roman" w:hAnsi="Times New Roman"/>
          <w:sz w:val="28"/>
          <w:szCs w:val="28"/>
          <w:lang w:val="uk-UA"/>
        </w:rPr>
        <w:lastRenderedPageBreak/>
        <w:t>як у період з 2013 року по 2016 рік включно економічне зростання в Україні буде в діапазоні від 3% до 5% в рік</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Наші прогнози для 2012-2016 років ґрунтуються на припущенні, що обмінний курс української гривні до долара США буде перебувати на рівні близько 8 гривень за долар США, а співвідношення Євро до долара США становитиме приблизно 1,4. Як свідчать події в Україні кінця 2008 року, будь-які значні коливання валютного курсу гривні до «твердих» валют можуть істотно вплинути на ціни продажу нерухомості в доларовому еквіваленті.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початку 2013 року очікується деяке зміцнення висхідної динаміки, при цьому відбудеться щорічне зростання цін на 3-5% протягом 2013-2016 років.</w:t>
      </w:r>
    </w:p>
    <w:p w:rsidR="00192005" w:rsidRPr="00C8397D" w:rsidRDefault="00192005" w:rsidP="00192005">
      <w:pPr>
        <w:spacing w:after="0" w:line="360" w:lineRule="auto"/>
        <w:ind w:firstLine="709"/>
        <w:jc w:val="both"/>
        <w:rPr>
          <w:rFonts w:ascii="Times New Roman" w:hAnsi="Times New Roman"/>
          <w:b/>
          <w:sz w:val="28"/>
          <w:szCs w:val="28"/>
          <w:lang w:val="uk-UA"/>
        </w:rPr>
      </w:pPr>
      <w:r w:rsidRPr="00C8397D">
        <w:rPr>
          <w:rFonts w:ascii="Times New Roman" w:hAnsi="Times New Roman"/>
          <w:b/>
          <w:sz w:val="28"/>
          <w:szCs w:val="28"/>
          <w:lang w:val="uk-UA"/>
        </w:rPr>
        <w:t>3.2.1.6. Ринок логістичної та складської нерухомості в Києві і регіоні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Нижче викладені ключові фактори, тенденції та прогнози щодо попиту і пропозиції на логістичну та складську нерухомість в Київському регіоні, а також показники ефективності розвитку даного сегменту ринку.</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 xml:space="preserve">Станом на кінець першого кварталу 2012 року загальний обсяг сучасних логістичних та складських приміщень в Київському регіоні склав близько </w:t>
      </w:r>
      <w:smartTag w:uri="urn:schemas-microsoft-com:office:smarttags" w:element="metricconverter">
        <w:smartTagPr>
          <w:attr w:name="ProductID" w:val="1 332 230 кв. м"/>
        </w:smartTagPr>
        <w:r w:rsidRPr="00C8397D">
          <w:rPr>
            <w:rFonts w:ascii="Times New Roman" w:hAnsi="Times New Roman"/>
            <w:sz w:val="28"/>
            <w:szCs w:val="28"/>
            <w:lang w:val="uk-UA"/>
          </w:rPr>
          <w:t>1 332 230 кв. м</w:t>
        </w:r>
      </w:smartTag>
      <w:r w:rsidRPr="00C8397D">
        <w:rPr>
          <w:rFonts w:ascii="Times New Roman" w:hAnsi="Times New Roman"/>
          <w:sz w:val="28"/>
          <w:szCs w:val="28"/>
          <w:lang w:val="uk-UA"/>
        </w:rPr>
        <w:t xml:space="preserve"> із врахуванням більш ніж </w:t>
      </w:r>
      <w:smartTag w:uri="urn:schemas-microsoft-com:office:smarttags" w:element="metricconverter">
        <w:smartTagPr>
          <w:attr w:name="ProductID" w:val="119 000 кв. м"/>
        </w:smartTagPr>
        <w:r w:rsidRPr="00C8397D">
          <w:rPr>
            <w:rFonts w:ascii="Times New Roman" w:hAnsi="Times New Roman"/>
            <w:sz w:val="28"/>
            <w:szCs w:val="28"/>
            <w:lang w:val="uk-UA"/>
          </w:rPr>
          <w:t>119 000 кв. м</w:t>
        </w:r>
      </w:smartTag>
      <w:r w:rsidRPr="00C8397D">
        <w:rPr>
          <w:rFonts w:ascii="Times New Roman" w:hAnsi="Times New Roman"/>
          <w:sz w:val="28"/>
          <w:szCs w:val="28"/>
          <w:lang w:val="uk-UA"/>
        </w:rPr>
        <w:t xml:space="preserve"> сучасних спеціалізованих холодильних, морозильних та хімічних складських приміщень, та без врахування старих конструкцій радянського типу в межах Києва та поза його межами.</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Переважна більшість сучасних логістичних та складських комплексів Київського регіону розташована вздовж траси Київ-Житомир (М-06) та в районі Кільцевої дороги «Бровари-Бориспіль» і траси Київ-Москва (М-01); що у відсотковому відношенні складає понад 29% і 25% від загального обсягу логістичних площ, відповідно.</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 xml:space="preserve">Обсяг пропозиції сучасних складських приміщень в межах міста Києві є досить обмеженим через порівняно низький рівень інвестицій у реконструкцію існуючих старих комплексів. Об’єм пропозиції в місті </w:t>
      </w:r>
      <w:r w:rsidRPr="00C8397D">
        <w:rPr>
          <w:rFonts w:ascii="Times New Roman" w:hAnsi="Times New Roman"/>
          <w:sz w:val="28"/>
          <w:szCs w:val="28"/>
          <w:lang w:val="uk-UA"/>
        </w:rPr>
        <w:lastRenderedPageBreak/>
        <w:t>переважно складають частково реконструйовані складські та промислові об'єкти. Крім того, беручи до уваги рівень очікуваної доходності і порівняно високу вартість земельної ділянки, складські об’єкти в межах міста Києва вигідніше використовувати за іншим цільовим призначенням, що призводить до того, що потенційні орендарі логістичної нерухомості розглядають об’єкти розташовані поза межами міста або на околицях української столиці, в межах промислових зон.</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Станом на кінець березня 2012 року, рівень первинної вакантності в секторі логістичної нерухомості склав 13,8%, скоротившись на 1,9%, в порівнянні з четвертим кварталом 2011 року. Подібна динаміка пов’язана в першу чергу з відсутністю пропозиції нових об’єктів складської та логістичної нерухомості в І кварталі 2012 року.</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 xml:space="preserve">Як відомо, в 2011 році загальна кількість зданих в оренду площ склала понад </w:t>
      </w:r>
      <w:smartTag w:uri="urn:schemas-microsoft-com:office:smarttags" w:element="metricconverter">
        <w:smartTagPr>
          <w:attr w:name="ProductID" w:val="214 000 кв. м"/>
        </w:smartTagPr>
        <w:r w:rsidRPr="00C8397D">
          <w:rPr>
            <w:rFonts w:ascii="Times New Roman" w:hAnsi="Times New Roman"/>
            <w:sz w:val="28"/>
            <w:szCs w:val="28"/>
            <w:lang w:val="uk-UA"/>
          </w:rPr>
          <w:t>214 000 кв. м</w:t>
        </w:r>
      </w:smartTag>
      <w:r w:rsidRPr="00C8397D">
        <w:rPr>
          <w:rFonts w:ascii="Times New Roman" w:hAnsi="Times New Roman"/>
          <w:sz w:val="28"/>
          <w:szCs w:val="28"/>
          <w:lang w:val="uk-UA"/>
        </w:rPr>
        <w:t>, що є одним з найвищих показників, зареєстрованих протягом відносно короткого проміжку часу існування українського ринку логістичної та складської нерухомості. Подібний рекордний обсяг зданих в оренду площ в 2011 році, відображає наміри більшості потенційних орендарів поліпшити рівень якості орендованих приміщень та/або забезпечити подальшу можливість для їх розширення, але подібна динаміка, з нашої точки зору, поки що, ще не свідчить про відновлення ринку логістичної нерухомості в Київському регіоні.</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 xml:space="preserve">В першому кварталі 2012 року, відзначається відносно високий рівень активності зі сторони потенційних орендарів складської та логістичної нерухомості в Київській області, що досліджували комерційні пропозиції від різних орендодавців, з ціллю оптимізації і, при можливості, мінімізації витрат, пов’язаних з орендою, шляхом проведення переговорів з існуючими орендодавцями або зміни місця локації на більш оптимальне з точки зору ціни. При цьому обсяг зданих в оренду площ в першому кварталі 2012 року склав лише </w:t>
      </w:r>
      <w:smartTag w:uri="urn:schemas-microsoft-com:office:smarttags" w:element="metricconverter">
        <w:smartTagPr>
          <w:attr w:name="ProductID" w:val="17 310 кв. м"/>
        </w:smartTagPr>
        <w:r w:rsidRPr="00C8397D">
          <w:rPr>
            <w:rFonts w:ascii="Times New Roman" w:hAnsi="Times New Roman"/>
            <w:sz w:val="28"/>
            <w:szCs w:val="28"/>
            <w:lang w:val="uk-UA"/>
          </w:rPr>
          <w:t>17 310 кв. м</w:t>
        </w:r>
      </w:smartTag>
      <w:r w:rsidRPr="00C8397D">
        <w:rPr>
          <w:rFonts w:ascii="Times New Roman" w:hAnsi="Times New Roman"/>
          <w:sz w:val="28"/>
          <w:szCs w:val="28"/>
          <w:lang w:val="uk-UA"/>
        </w:rPr>
        <w:t xml:space="preserve">, що на 83% і 45% нижче, в порівнянні з показниками 2011 та 2010 року відповідно, і приблизно на 7% нижче показника, </w:t>
      </w:r>
      <w:r w:rsidRPr="00C8397D">
        <w:rPr>
          <w:rFonts w:ascii="Times New Roman" w:hAnsi="Times New Roman"/>
          <w:sz w:val="28"/>
          <w:szCs w:val="28"/>
          <w:lang w:val="uk-UA"/>
        </w:rPr>
        <w:lastRenderedPageBreak/>
        <w:t>зареєстрованого на вершині економічної кризи, в січні-березні 2009 року.</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У першому кварталі 2012 року базова орендна ставка на сучасні складські приміщення, розташовані на західному березі річки Дніпро Київського регіону, коливалась в межах від 5,5 до 7 дол. США за кв. м на місяць, в той час, як орендна ставка на східному березі, варіювала від 4,5 до 6 дол. США за кв. м. При цьому логістичні і складські приміщення в межах міста Києва оцінювались в діапазоні від 4 до 8 дол. США за кв. м в місяць. Розмір орендної ставки в цілому залежав від рівня якості самого приміщення, місця його розташування, а також загальних умов оренди.</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Зважаючи на існуючу економічну кон’юнктуру і на кількість запланованих до вводу в експлуатацію об’єктів складської нерухомості Київського регіону, показник вакантності в сегменті буде поступово зменшуватися протягом 2012 року, але залишиться на рівні вище 10%. При цьому рівень орендних ставок суттєвої зміни не зазнає.</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Очікуване в середньостроковій перспективі відновлення ділової активності та пожвавлення рівня попиту зі сторони компаній-орендарів можуть викликати зменшення рівня вакантності та тимчасове збільшення рівня орендних ставок на складські та логістичні площі в Київському регіоні. Але за оцінками експертів, еластичність пропозиції логістичної нерухомості до її вартості є вищою в порівнянні з іншими галузями комерційної нерухомості в Україні, тому динаміка виведення на ринок нових об’єктів в сегменті логістики може відновитися відносно швидко.</w:t>
      </w:r>
    </w:p>
    <w:p w:rsidR="00192005" w:rsidRPr="00C8397D" w:rsidRDefault="00192005" w:rsidP="00192005">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Компанія DTZ вважає, з високою вірогідністю в довгостроковій перспективі, рівень пропозиції нових сучасних приміщень логістичного сектору нерухомості в межах міста Києва залишиться обмеженим, при цьому в складі пропозиції будуть надалі переважати промислові та складські об’єкти старого будівництва радянського типу, розташовані в межах промислових зон міста, в кращому випадку дещо відремонтовані або з елементами реконструкції.</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 xml:space="preserve">Обсяг пропозиції обєктів складської та промислової нерухомості в </w:t>
      </w:r>
      <w:r w:rsidRPr="00C8397D">
        <w:rPr>
          <w:rFonts w:ascii="Times New Roman" w:hAnsi="Times New Roman"/>
          <w:i/>
          <w:sz w:val="28"/>
          <w:szCs w:val="28"/>
          <w:lang w:val="uk-UA"/>
        </w:rPr>
        <w:lastRenderedPageBreak/>
        <w:t>Київському регіоні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Станом на кінець першого кварталу 2012 року загальний обсяг сучасних логістичних та складських приміщень в Київському регіоні склав близько </w:t>
      </w:r>
      <w:smartTag w:uri="urn:schemas-microsoft-com:office:smarttags" w:element="metricconverter">
        <w:smartTagPr>
          <w:attr w:name="ProductID" w:val="1 332 230 кв. м"/>
        </w:smartTagPr>
        <w:r w:rsidRPr="00C8397D">
          <w:rPr>
            <w:rFonts w:ascii="Times New Roman" w:hAnsi="Times New Roman"/>
            <w:sz w:val="28"/>
            <w:szCs w:val="28"/>
            <w:lang w:val="uk-UA"/>
          </w:rPr>
          <w:t>1 332 230 кв. м</w:t>
        </w:r>
      </w:smartTag>
      <w:r w:rsidRPr="00C8397D">
        <w:rPr>
          <w:rFonts w:ascii="Times New Roman" w:hAnsi="Times New Roman"/>
          <w:sz w:val="28"/>
          <w:szCs w:val="28"/>
          <w:lang w:val="uk-UA"/>
        </w:rPr>
        <w:t xml:space="preserve">. Слід зазначити, що до складу даного показника входить приблизно </w:t>
      </w:r>
      <w:smartTag w:uri="urn:schemas-microsoft-com:office:smarttags" w:element="metricconverter">
        <w:smartTagPr>
          <w:attr w:name="ProductID" w:val="119 000 кв. м"/>
        </w:smartTagPr>
        <w:r w:rsidRPr="00C8397D">
          <w:rPr>
            <w:rFonts w:ascii="Times New Roman" w:hAnsi="Times New Roman"/>
            <w:sz w:val="28"/>
            <w:szCs w:val="28"/>
            <w:lang w:val="uk-UA"/>
          </w:rPr>
          <w:t>119 000 кв. м</w:t>
        </w:r>
      </w:smartTag>
      <w:r w:rsidRPr="00C8397D">
        <w:rPr>
          <w:rFonts w:ascii="Times New Roman" w:hAnsi="Times New Roman"/>
          <w:sz w:val="28"/>
          <w:szCs w:val="28"/>
          <w:lang w:val="uk-UA"/>
        </w:rPr>
        <w:t xml:space="preserve"> сучасних спеціалізованих об’єктів логістичної нерухомості, таких як: холодильні та морозильні склади, а також приміщення адаптовані для зберігання хімічних речовин.</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Таблиця 4.3.6.1 - Основні індикатори ринку промислової та логістичної нерухомості Київського регіону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1056"/>
        <w:gridCol w:w="1056"/>
        <w:gridCol w:w="1196"/>
        <w:gridCol w:w="1186"/>
        <w:gridCol w:w="1196"/>
        <w:gridCol w:w="1196"/>
      </w:tblGrid>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2007</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2008</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2009</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2011</w:t>
            </w:r>
          </w:p>
        </w:tc>
        <w:tc>
          <w:tcPr>
            <w:tcW w:w="0" w:type="auto"/>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Q1 2012</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Загальний об’єм (кв.м)*</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384310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821780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1016600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1175850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1332230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1332230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Річна пропозиція (кв.м)*</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199780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437470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194820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159250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156380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Вакантність (%)</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1-2</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14,5</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20,6</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17,9</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15,7</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13,8</w:t>
            </w:r>
          </w:p>
        </w:tc>
      </w:tr>
      <w:tr w:rsidR="00192005" w:rsidRPr="00C8397D" w:rsidTr="00BA5963">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Орендна ставка на найкращі приміщення (дол. США / кв.м / місяць)</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10,5</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7,5-10</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5,5-7</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5,5-6,5</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5-7</w:t>
            </w:r>
          </w:p>
        </w:tc>
        <w:tc>
          <w:tcPr>
            <w:tcW w:w="0" w:type="auto"/>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5-7</w:t>
            </w:r>
          </w:p>
        </w:tc>
      </w:tr>
    </w:tbl>
    <w:p w:rsidR="00192005" w:rsidRPr="00C8397D" w:rsidRDefault="00192005" w:rsidP="00192005">
      <w:pPr>
        <w:spacing w:after="0" w:line="360" w:lineRule="auto"/>
        <w:ind w:firstLine="720"/>
        <w:jc w:val="both"/>
        <w:rPr>
          <w:rFonts w:ascii="Times New Roman" w:hAnsi="Times New Roman"/>
          <w:sz w:val="28"/>
          <w:szCs w:val="28"/>
          <w:lang w:val="uk-UA"/>
        </w:rPr>
      </w:pPr>
      <w:r w:rsidRPr="00C8397D">
        <w:rPr>
          <w:rFonts w:ascii="Times New Roman" w:hAnsi="Times New Roman"/>
          <w:sz w:val="28"/>
          <w:szCs w:val="28"/>
          <w:lang w:val="uk-UA"/>
        </w:rPr>
        <w:t>* Враховуючи допоміжні офісні приміщення та мезонін</w:t>
      </w:r>
    </w:p>
    <w:p w:rsidR="00192005" w:rsidRPr="00C8397D" w:rsidRDefault="00192005" w:rsidP="00192005">
      <w:pPr>
        <w:spacing w:after="0" w:line="360" w:lineRule="auto"/>
        <w:ind w:firstLine="720"/>
        <w:jc w:val="both"/>
        <w:rPr>
          <w:rFonts w:ascii="Times New Roman" w:hAnsi="Times New Roman"/>
          <w:sz w:val="28"/>
          <w:szCs w:val="28"/>
          <w:lang w:val="uk-UA"/>
        </w:rPr>
      </w:pPr>
      <w:r w:rsidRPr="00C8397D">
        <w:rPr>
          <w:rFonts w:ascii="Times New Roman" w:hAnsi="Times New Roman"/>
          <w:sz w:val="28"/>
          <w:szCs w:val="28"/>
          <w:lang w:val="uk-UA"/>
        </w:rPr>
        <w:t>Примітка: Всі дані вказані на кінець періоду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Також зауважимо, що в І кварталі 2012 року, в Київському регіоні, в експлуатацію не було введено жодного нового комплексу логістичної нерухомості. Станом на кінець березня 2012 року, об'єм нової пропозиції складських та логістичних площ у 2012 році може скласти від </w:t>
      </w:r>
      <w:smartTag w:uri="urn:schemas-microsoft-com:office:smarttags" w:element="metricconverter">
        <w:smartTagPr>
          <w:attr w:name="ProductID" w:val="102 600 кв. м"/>
        </w:smartTagPr>
        <w:r w:rsidRPr="00C8397D">
          <w:rPr>
            <w:rFonts w:ascii="Times New Roman" w:hAnsi="Times New Roman"/>
            <w:sz w:val="28"/>
            <w:szCs w:val="28"/>
            <w:lang w:val="uk-UA"/>
          </w:rPr>
          <w:t>102 600 кв. м</w:t>
        </w:r>
      </w:smartTag>
      <w:r w:rsidRPr="00C8397D">
        <w:rPr>
          <w:rFonts w:ascii="Times New Roman" w:hAnsi="Times New Roman"/>
          <w:sz w:val="28"/>
          <w:szCs w:val="28"/>
          <w:lang w:val="uk-UA"/>
        </w:rPr>
        <w:t xml:space="preserve"> до </w:t>
      </w:r>
      <w:smartTag w:uri="urn:schemas-microsoft-com:office:smarttags" w:element="metricconverter">
        <w:smartTagPr>
          <w:attr w:name="ProductID" w:val="166 000 кв. м"/>
        </w:smartTagPr>
        <w:r w:rsidRPr="00C8397D">
          <w:rPr>
            <w:rFonts w:ascii="Times New Roman" w:hAnsi="Times New Roman"/>
            <w:sz w:val="28"/>
            <w:szCs w:val="28"/>
            <w:lang w:val="uk-UA"/>
          </w:rPr>
          <w:t>166 000 кв. м</w:t>
        </w:r>
      </w:smartTag>
      <w:r w:rsidRPr="00C8397D">
        <w:rPr>
          <w:rFonts w:ascii="Times New Roman" w:hAnsi="Times New Roman"/>
          <w:sz w:val="28"/>
          <w:szCs w:val="28"/>
          <w:lang w:val="uk-UA"/>
        </w:rPr>
        <w:t xml:space="preserve"> (GLA, корисної площі).</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667125" cy="240284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extLst>
                        <a:ext uri="{28A0092B-C50C-407E-A947-70E740481C1C}">
                          <a14:useLocalDpi xmlns:a14="http://schemas.microsoft.com/office/drawing/2010/main" val="0"/>
                        </a:ext>
                      </a:extLst>
                    </a:blip>
                    <a:srcRect l="7906" t="36841" r="68956" b="35829"/>
                    <a:stretch>
                      <a:fillRect/>
                    </a:stretch>
                  </pic:blipFill>
                  <pic:spPr bwMode="auto">
                    <a:xfrm>
                      <a:off x="0" y="0"/>
                      <a:ext cx="3667125" cy="240284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lang w:val="uk-UA"/>
        </w:rPr>
        <w:t>Графік 4.3.6.1 - Основні показники ринку логістичної нерухомості в Київському регіоні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Серед основних логістичних комплексів,що заплановані до вводу в експлуатацію у 2012 році, виділимо наступні: офісно-складський комплекс «Щасливе», «Індустріальний парк Красилівка», «Термінал Ворзель» та «Термінал Буча», а також складські комплекси, розташовані поблизу сіл Петрушки та Старі Петрівці.</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Основні локації логістичних та складських об’єктів Київського регіону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точки зору місця розташування промислових та логістичних складських потужностей міста Києва та Київського регіону, класифікуємо об’єкти нерухомості на ті, що розташовані у пострадянських промислових районах української столиці, та на об’єкти, що знаходяться за межами міста, вздовж основних автомагістралей.</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Переважна більшість сучасних логістичних та складських комплексів Київського регіону розташована вздовж траси Київ-Житомир (М-06) та в районі Кільцевої дороги «Бровари-Бориспіль» і траси Київ-Москва (М-01); що у відсотковому відношенні складає понад 29% і 25% від загального обсягу логістичних площ відповідно (</w:t>
      </w:r>
      <w:r w:rsidRPr="00C8397D">
        <w:rPr>
          <w:rFonts w:ascii="Times New Roman" w:hAnsi="Times New Roman"/>
          <w:sz w:val="28"/>
          <w:szCs w:val="28"/>
          <w:highlight w:val="yellow"/>
          <w:lang w:val="uk-UA"/>
        </w:rPr>
        <w:t>Графік 4.3.7.2</w:t>
      </w:r>
      <w:r w:rsidRPr="00C8397D">
        <w:rPr>
          <w:rFonts w:ascii="Times New Roman" w:hAnsi="Times New Roman"/>
          <w:sz w:val="28"/>
          <w:szCs w:val="28"/>
          <w:lang w:val="uk-UA"/>
        </w:rPr>
        <w:t>).</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4698365" cy="291846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extLst>
                        <a:ext uri="{28A0092B-C50C-407E-A947-70E740481C1C}">
                          <a14:useLocalDpi xmlns:a14="http://schemas.microsoft.com/office/drawing/2010/main" val="0"/>
                        </a:ext>
                      </a:extLst>
                    </a:blip>
                    <a:srcRect l="7945" t="45244" r="67030" b="27257"/>
                    <a:stretch>
                      <a:fillRect/>
                    </a:stretch>
                  </pic:blipFill>
                  <pic:spPr bwMode="auto">
                    <a:xfrm>
                      <a:off x="0" y="0"/>
                      <a:ext cx="4698365" cy="291846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Графік 4.3.6.2</w:t>
      </w:r>
      <w:r w:rsidRPr="00C8397D">
        <w:rPr>
          <w:rFonts w:ascii="Times New Roman" w:hAnsi="Times New Roman"/>
          <w:sz w:val="28"/>
          <w:szCs w:val="28"/>
          <w:lang w:val="uk-UA"/>
        </w:rPr>
        <w:t xml:space="preserve"> - Існуючий об'єм логістичних приміщень у Київській області з розбивкою за напрямами, станом на кінець березня 2012</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Обсяг пропозиції сучасних складських приміщень в межах міста Києва є досить обмеженим. Його склад найчастіше виражений складськими чи промисловими об'єктами, частково оздобленими та реконструйованими за рахунок достатньо низького рівня інвестицій. Крім того, беручи до уваги рівень очікуваної дохідності і порівняно високу вартість земельної ділянки, складські об’єкти в ме жах міста Києва вигідніше використовувати за іншим цільовим призначенням, що призводить до того, що потенційні орендарі логістичної нерухомості розглядають об’єкти розташовані поза межами міста або на околицях української столиці, в межах промислових зон.</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Найчастіше, складські комплекси в межах столиці виникали на місцях колишніх пострадянських промислових зон і, здебільшого, мають в основі неякісні старі виробничі конструкції, перероблені в склади, з недостатньою кількістю завантажувально-відвантажувальних платформ, без належного забезпечення комунікаціями та з порівняно невеликими приміщеннями для зберігання тих чи інших потужностей тощо.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Основні локації складських і логістичних комплексів в межах міста Києва </w:t>
      </w:r>
      <w:r w:rsidRPr="00C8397D">
        <w:rPr>
          <w:rFonts w:ascii="Times New Roman" w:hAnsi="Times New Roman"/>
          <w:sz w:val="28"/>
          <w:szCs w:val="28"/>
          <w:highlight w:val="yellow"/>
          <w:lang w:val="uk-UA"/>
        </w:rPr>
        <w:t>(карта. 4.3.6.</w:t>
      </w:r>
      <w:r w:rsidRPr="00C8397D">
        <w:rPr>
          <w:rFonts w:ascii="Times New Roman" w:hAnsi="Times New Roman"/>
          <w:sz w:val="28"/>
          <w:szCs w:val="28"/>
          <w:lang w:val="uk-UA"/>
        </w:rPr>
        <w:t>1):</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а) Правобережний регіон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 Район Кільцевої дороги (зокрема, Михайлівська та Софіївська Борщагівка)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Район міжнародного аеропорту «Київ» («Жуляни»)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Промисловий район «Відрадний» (в межах бульвару Івана Лепсе)</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Подільсько-Куренівська промислова зона (в районі Петрівки, Куренівки та Пріорки)</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Промислова зона Новобіличів (в районі вулиць Булаковського, Наумова, Василя Степанченка, Миколи Краснова та Вернадського)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Жовтневе (в районі Столичного шосе і вулиці Червонопрапорної)</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Промислова зона «Теличка» (мікрорайон «Нижня Теличка» або «Видубичі»)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б) Лівобережний регіон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Промислова зона Позняків (мікрорайон «Корольок», вулиці Дніпровська Набережна, Здолбунівська, Сортувальна, Канальна, Клеманська)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Дніпровська промислова зона (вулиці Червоноткацька, Магнітогорська, Віскозна,)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Погреби (мікрорайон «Троєщина»)</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4999990" cy="525272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extLst>
                        <a:ext uri="{28A0092B-C50C-407E-A947-70E740481C1C}">
                          <a14:useLocalDpi xmlns:a14="http://schemas.microsoft.com/office/drawing/2010/main" val="0"/>
                        </a:ext>
                      </a:extLst>
                    </a:blip>
                    <a:srcRect l="7941" t="13629" r="55473" b="17828"/>
                    <a:stretch>
                      <a:fillRect/>
                    </a:stretch>
                  </pic:blipFill>
                  <pic:spPr bwMode="auto">
                    <a:xfrm>
                      <a:off x="0" y="0"/>
                      <a:ext cx="4999990" cy="525272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4.3.6.1</w:t>
      </w:r>
      <w:r w:rsidRPr="00C8397D">
        <w:rPr>
          <w:rFonts w:ascii="Times New Roman" w:hAnsi="Times New Roman"/>
          <w:sz w:val="28"/>
          <w:szCs w:val="28"/>
          <w:lang w:val="uk-UA"/>
        </w:rPr>
        <w:t xml:space="preserve"> - Основні локації складських і логістичних комплексів Київського регіону: в межах міста Києва та в його околицях</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Рівень попиту на виробничі та складські приміщення в Київському регіоні</w:t>
      </w:r>
    </w:p>
    <w:p w:rsidR="00192005" w:rsidRPr="00C8397D" w:rsidRDefault="00192005" w:rsidP="00192005">
      <w:pPr>
        <w:spacing w:after="0" w:line="360" w:lineRule="auto"/>
        <w:ind w:firstLine="709"/>
        <w:jc w:val="both"/>
        <w:rPr>
          <w:rFonts w:ascii="Times New Roman" w:hAnsi="Times New Roman"/>
          <w:i/>
          <w:sz w:val="28"/>
          <w:szCs w:val="28"/>
          <w:u w:val="single"/>
          <w:lang w:val="uk-UA"/>
        </w:rPr>
      </w:pPr>
      <w:r w:rsidRPr="00C8397D">
        <w:rPr>
          <w:rFonts w:ascii="Times New Roman" w:hAnsi="Times New Roman"/>
          <w:i/>
          <w:sz w:val="28"/>
          <w:szCs w:val="28"/>
          <w:u w:val="single"/>
          <w:lang w:val="uk-UA"/>
        </w:rPr>
        <w:t>Київський регіон</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За підсумками 2011 року, загальна кількість зданих в оренду площ в Київському регіоні склала понад </w:t>
      </w:r>
      <w:smartTag w:uri="urn:schemas-microsoft-com:office:smarttags" w:element="metricconverter">
        <w:smartTagPr>
          <w:attr w:name="ProductID" w:val="214 000 кв. м"/>
        </w:smartTagPr>
        <w:r w:rsidRPr="00C8397D">
          <w:rPr>
            <w:rFonts w:ascii="Times New Roman" w:hAnsi="Times New Roman"/>
            <w:sz w:val="28"/>
            <w:szCs w:val="28"/>
            <w:lang w:val="uk-UA"/>
          </w:rPr>
          <w:t xml:space="preserve">214 </w:t>
        </w:r>
        <w:smartTag w:uri="urn:schemas-microsoft-com:office:smarttags" w:element="metricconverter">
          <w:smartTagPr>
            <w:attr w:name="ProductID" w:val="000 кв. м"/>
          </w:smartTagPr>
          <w:r w:rsidRPr="00C8397D">
            <w:rPr>
              <w:rFonts w:ascii="Times New Roman" w:hAnsi="Times New Roman"/>
              <w:sz w:val="28"/>
              <w:szCs w:val="28"/>
              <w:lang w:val="uk-UA"/>
            </w:rPr>
            <w:t>000 кв. м</w:t>
          </w:r>
        </w:smartTag>
      </w:smartTag>
      <w:r w:rsidRPr="00C8397D">
        <w:rPr>
          <w:rFonts w:ascii="Times New Roman" w:hAnsi="Times New Roman"/>
          <w:sz w:val="28"/>
          <w:szCs w:val="28"/>
          <w:lang w:val="uk-UA"/>
        </w:rPr>
        <w:t>, що є одним із найвищих показників, зареєстрованих протягом відносно короткого проміжку часу існування українського ринку логістичної та складської нерухомості.</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783965" cy="1993900"/>
            <wp:effectExtent l="0" t="0" r="698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a:extLst>
                        <a:ext uri="{28A0092B-C50C-407E-A947-70E740481C1C}">
                          <a14:useLocalDpi xmlns:a14="http://schemas.microsoft.com/office/drawing/2010/main" val="0"/>
                        </a:ext>
                      </a:extLst>
                    </a:blip>
                    <a:srcRect l="7903" t="28679" r="70915" b="51314"/>
                    <a:stretch>
                      <a:fillRect/>
                    </a:stretch>
                  </pic:blipFill>
                  <pic:spPr bwMode="auto">
                    <a:xfrm>
                      <a:off x="0" y="0"/>
                      <a:ext cx="3783965" cy="1993900"/>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w:t>
      </w:r>
      <w:r w:rsidRPr="00C8397D">
        <w:rPr>
          <w:rFonts w:ascii="Times New Roman" w:hAnsi="Times New Roman"/>
          <w:sz w:val="28"/>
          <w:szCs w:val="28"/>
          <w:lang w:val="uk-UA"/>
        </w:rPr>
        <w:t>6.3 - Об’єм орендованих якісних логістичних приміщень в Київському регіоні</w:t>
      </w:r>
    </w:p>
    <w:p w:rsidR="00192005" w:rsidRPr="00C8397D" w:rsidRDefault="00192005" w:rsidP="00192005">
      <w:pPr>
        <w:tabs>
          <w:tab w:val="left" w:pos="5475"/>
        </w:tabs>
        <w:spacing w:after="0" w:line="360" w:lineRule="auto"/>
        <w:ind w:firstLine="720"/>
        <w:jc w:val="both"/>
        <w:rPr>
          <w:rFonts w:ascii="Times New Roman" w:hAnsi="Times New Roman"/>
          <w:sz w:val="28"/>
          <w:szCs w:val="28"/>
          <w:lang w:val="uk-UA"/>
        </w:rPr>
      </w:pPr>
      <w:r w:rsidRPr="00C8397D">
        <w:rPr>
          <w:rFonts w:ascii="Times New Roman" w:hAnsi="Times New Roman"/>
          <w:sz w:val="28"/>
          <w:szCs w:val="28"/>
          <w:lang w:val="uk-UA"/>
        </w:rPr>
        <w:t>Подібний рекордний обсяг зданих в оренду площ в 2011 році, відображає наміри більшості потенційних орендарів поліпшити рівень якості орендованих приміщень та/або забезпечити подальшу можливість для їх розширення, але подібна динаміка, з нашої точки зору, поки що, ще не свідчить про відновлення ринку логістичної нерухомості в Київському регіоні.</w:t>
      </w:r>
    </w:p>
    <w:p w:rsidR="00192005" w:rsidRPr="00C8397D" w:rsidRDefault="00192005" w:rsidP="00192005">
      <w:pPr>
        <w:tabs>
          <w:tab w:val="left" w:pos="547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На відміну від позитивної динаміки 2011 року, в першому кварталі 2012 року об'єм зданих в оренду логістичних та складських приміщень в Київському регіоні склав всього </w:t>
      </w:r>
      <w:smartTag w:uri="urn:schemas-microsoft-com:office:smarttags" w:element="metricconverter">
        <w:smartTagPr>
          <w:attr w:name="ProductID" w:val="17 310 кв. м"/>
        </w:smartTagPr>
        <w:r w:rsidRPr="00C8397D">
          <w:rPr>
            <w:rFonts w:ascii="Times New Roman" w:hAnsi="Times New Roman"/>
            <w:sz w:val="28"/>
            <w:szCs w:val="28"/>
            <w:lang w:val="uk-UA"/>
          </w:rPr>
          <w:t>17 310 кв. м</w:t>
        </w:r>
      </w:smartTag>
      <w:r w:rsidRPr="00C8397D">
        <w:rPr>
          <w:rFonts w:ascii="Times New Roman" w:hAnsi="Times New Roman"/>
          <w:sz w:val="28"/>
          <w:szCs w:val="28"/>
          <w:lang w:val="uk-UA"/>
        </w:rPr>
        <w:t>, що приблизно на 83% та 45 % менше, ніж у першому кварталі 2011 та 2012 років відповідно, а також на 7% менше рівня, зареєстрованого на вершині економічної кризи в січні-березні 2009 року. Тим не менш, в першому кварталі 2012 року експерти зауважили достатньо високу активність з боку компаній-орендарів в секторі логістичної нерухомості, які продовжували стежити за ринковими умовами, та у випадку доцільності, прагнули мінімізувати свої витрати, пов’язані з орендою приміщень, проводячи переговорів з власниками або шляхом зміни місця локації на користь більш дешевих об’єктів.</w:t>
      </w:r>
    </w:p>
    <w:p w:rsidR="00192005" w:rsidRPr="00C8397D" w:rsidRDefault="00192005" w:rsidP="00192005">
      <w:pPr>
        <w:tabs>
          <w:tab w:val="left" w:pos="5475"/>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4007485" cy="26943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extLst>
                        <a:ext uri="{28A0092B-C50C-407E-A947-70E740481C1C}">
                          <a14:useLocalDpi xmlns:a14="http://schemas.microsoft.com/office/drawing/2010/main" val="0"/>
                        </a:ext>
                      </a:extLst>
                    </a:blip>
                    <a:srcRect l="7806" t="41116" r="71043" b="33829"/>
                    <a:stretch>
                      <a:fillRect/>
                    </a:stretch>
                  </pic:blipFill>
                  <pic:spPr bwMode="auto">
                    <a:xfrm>
                      <a:off x="0" y="0"/>
                      <a:ext cx="4007485" cy="2694305"/>
                    </a:xfrm>
                    <a:prstGeom prst="rect">
                      <a:avLst/>
                    </a:prstGeom>
                    <a:noFill/>
                    <a:ln>
                      <a:noFill/>
                    </a:ln>
                  </pic:spPr>
                </pic:pic>
              </a:graphicData>
            </a:graphic>
          </wp:inline>
        </w:drawing>
      </w:r>
    </w:p>
    <w:p w:rsidR="00192005" w:rsidRPr="00C8397D" w:rsidRDefault="00192005" w:rsidP="00192005">
      <w:pPr>
        <w:tabs>
          <w:tab w:val="left" w:pos="5475"/>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w:t>
      </w:r>
      <w:r w:rsidRPr="00C8397D">
        <w:rPr>
          <w:rFonts w:ascii="Times New Roman" w:hAnsi="Times New Roman"/>
          <w:sz w:val="28"/>
          <w:szCs w:val="28"/>
          <w:lang w:val="uk-UA"/>
        </w:rPr>
        <w:t>.7.4 - Об’єм орендованих логістичних приміщень в Київському регіоні в залежності від галузевого підпорядкування орендаря, % від кумулятивної площі угод</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Також слід зазначити, що об’єм якісних логістичних та складських приміщень Київського регіону, що пропонуються в оренду за ставками нижче ринкових, зменшився, що стало однією з причин порівняно невеликої кількості укладених угод щодо здачі в оренду приміщень в першому кварталі 2012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2012 році, об’єм зданих в оренду логістичних та складських приміщень в Київському регіоні, буде приблизно відповідати показникам 2009 та 2010 років, коливаючись в залежності від цінової політики власників приміщень в даному секторі комерційної нерухомості.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highlight w:val="yellow"/>
          <w:lang w:val="uk-UA"/>
        </w:rPr>
        <w:t>Таблиця 4.3.</w:t>
      </w:r>
      <w:r w:rsidRPr="00C8397D">
        <w:rPr>
          <w:rFonts w:ascii="Times New Roman" w:hAnsi="Times New Roman"/>
          <w:sz w:val="28"/>
          <w:szCs w:val="28"/>
          <w:lang w:val="uk-UA"/>
        </w:rPr>
        <w:t>7.2 - Основні угоди оренди об’єктів складської нерухомості в Київському регіоні, зареєстровані в період з ІV кварталу 2011 року по І квартал 2012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261"/>
        <w:gridCol w:w="1329"/>
        <w:gridCol w:w="1319"/>
        <w:gridCol w:w="1219"/>
        <w:gridCol w:w="1831"/>
        <w:gridCol w:w="1612"/>
      </w:tblGrid>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Період</w:t>
            </w:r>
          </w:p>
        </w:tc>
        <w:tc>
          <w:tcPr>
            <w:tcW w:w="134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Об</w:t>
            </w:r>
            <w:r w:rsidRPr="00C8397D">
              <w:rPr>
                <w:rFonts w:ascii="Times New Roman" w:hAnsi="Times New Roman"/>
                <w:sz w:val="28"/>
                <w:szCs w:val="28"/>
              </w:rPr>
              <w:t>’</w:t>
            </w:r>
            <w:r w:rsidRPr="00C8397D">
              <w:rPr>
                <w:rFonts w:ascii="Times New Roman" w:hAnsi="Times New Roman"/>
                <w:sz w:val="28"/>
                <w:szCs w:val="28"/>
                <w:lang w:val="uk-UA"/>
              </w:rPr>
              <w:t>єкт</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Орендар </w:t>
            </w:r>
          </w:p>
        </w:tc>
        <w:tc>
          <w:tcPr>
            <w:tcW w:w="135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Профіль Орендаря</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Загальна площа (кв.м)</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Розташування</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Тип угоди</w:t>
            </w:r>
          </w:p>
        </w:tc>
      </w:tr>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Q4 2011</w:t>
            </w:r>
          </w:p>
        </w:tc>
        <w:tc>
          <w:tcPr>
            <w:tcW w:w="1344"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BF Sklad</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«Заммлер склад»</w:t>
            </w:r>
          </w:p>
        </w:tc>
        <w:tc>
          <w:tcPr>
            <w:tcW w:w="135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L&amp;T</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9500</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М-03, Е40</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Розширення</w:t>
            </w:r>
          </w:p>
        </w:tc>
      </w:tr>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lastRenderedPageBreak/>
              <w:t>Q</w:t>
            </w:r>
            <w:r w:rsidRPr="00C8397D">
              <w:rPr>
                <w:rFonts w:ascii="Times New Roman" w:hAnsi="Times New Roman"/>
                <w:sz w:val="28"/>
                <w:szCs w:val="28"/>
                <w:lang w:val="uk-UA"/>
              </w:rPr>
              <w:t>1</w:t>
            </w:r>
            <w:r w:rsidRPr="00C8397D">
              <w:rPr>
                <w:rFonts w:ascii="Times New Roman" w:hAnsi="Times New Roman"/>
                <w:sz w:val="28"/>
                <w:szCs w:val="28"/>
              </w:rPr>
              <w:t xml:space="preserve"> 201</w:t>
            </w:r>
            <w:r w:rsidRPr="00C8397D">
              <w:rPr>
                <w:rFonts w:ascii="Times New Roman" w:hAnsi="Times New Roman"/>
                <w:sz w:val="28"/>
                <w:szCs w:val="28"/>
                <w:lang w:val="uk-UA"/>
              </w:rPr>
              <w:t>2</w:t>
            </w:r>
          </w:p>
        </w:tc>
        <w:tc>
          <w:tcPr>
            <w:tcW w:w="134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Universal Logistics Park (2 черга)</w:t>
            </w:r>
          </w:p>
        </w:tc>
        <w:tc>
          <w:tcPr>
            <w:tcW w:w="135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Le Mage</w:t>
            </w:r>
          </w:p>
        </w:tc>
        <w:tc>
          <w:tcPr>
            <w:tcW w:w="135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Торгівля</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4600</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М-01, Е95</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Нова угода</w:t>
            </w:r>
          </w:p>
        </w:tc>
      </w:tr>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w:t>
            </w:r>
            <w:r w:rsidRPr="00C8397D">
              <w:rPr>
                <w:rFonts w:ascii="Times New Roman" w:hAnsi="Times New Roman"/>
                <w:sz w:val="28"/>
                <w:szCs w:val="28"/>
              </w:rPr>
              <w:t xml:space="preserve"> 201</w:t>
            </w:r>
            <w:r w:rsidRPr="00C8397D">
              <w:rPr>
                <w:rFonts w:ascii="Times New Roman" w:hAnsi="Times New Roman"/>
                <w:sz w:val="28"/>
                <w:szCs w:val="28"/>
                <w:lang w:val="uk-UA"/>
              </w:rPr>
              <w:t>2</w:t>
            </w:r>
          </w:p>
        </w:tc>
        <w:tc>
          <w:tcPr>
            <w:tcW w:w="134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Universal Logistics Park (2 черга)</w:t>
            </w:r>
          </w:p>
        </w:tc>
        <w:tc>
          <w:tcPr>
            <w:tcW w:w="135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p>
        </w:tc>
        <w:tc>
          <w:tcPr>
            <w:tcW w:w="135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p>
        </w:tc>
      </w:tr>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34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Термінал бровари</w:t>
            </w:r>
          </w:p>
        </w:tc>
        <w:tc>
          <w:tcPr>
            <w:tcW w:w="135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p>
        </w:tc>
        <w:tc>
          <w:tcPr>
            <w:tcW w:w="135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Нова угода</w:t>
            </w:r>
          </w:p>
        </w:tc>
      </w:tr>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w:t>
            </w:r>
            <w:r w:rsidRPr="00C8397D">
              <w:rPr>
                <w:rFonts w:ascii="Times New Roman" w:hAnsi="Times New Roman"/>
                <w:sz w:val="28"/>
                <w:szCs w:val="28"/>
              </w:rPr>
              <w:t xml:space="preserve"> 201</w:t>
            </w:r>
            <w:r w:rsidRPr="00C8397D">
              <w:rPr>
                <w:rFonts w:ascii="Times New Roman" w:hAnsi="Times New Roman"/>
                <w:sz w:val="28"/>
                <w:szCs w:val="28"/>
                <w:lang w:val="uk-UA"/>
              </w:rPr>
              <w:t>2</w:t>
            </w:r>
          </w:p>
        </w:tc>
        <w:tc>
          <w:tcPr>
            <w:tcW w:w="134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Universal Logistics Park (2 черга)</w:t>
            </w:r>
          </w:p>
        </w:tc>
        <w:tc>
          <w:tcPr>
            <w:tcW w:w="135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Diana Lux Logistics</w:t>
            </w:r>
          </w:p>
        </w:tc>
        <w:tc>
          <w:tcPr>
            <w:tcW w:w="135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L&amp;T</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2300</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Бровари-Бориспіль М-01, Е95</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Нова угода</w:t>
            </w:r>
          </w:p>
        </w:tc>
      </w:tr>
      <w:tr w:rsidR="00192005" w:rsidRPr="00C8397D" w:rsidTr="00BA5963">
        <w:tc>
          <w:tcPr>
            <w:tcW w:w="1345"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344"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Термінал бровари</w:t>
            </w:r>
          </w:p>
        </w:tc>
        <w:tc>
          <w:tcPr>
            <w:tcW w:w="1353"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FM Logistic Ukraine</w:t>
            </w:r>
          </w:p>
        </w:tc>
        <w:tc>
          <w:tcPr>
            <w:tcW w:w="1357" w:type="dxa"/>
          </w:tcPr>
          <w:p w:rsidR="00192005" w:rsidRPr="00C8397D" w:rsidRDefault="00192005" w:rsidP="00BA5963">
            <w:pPr>
              <w:spacing w:after="0" w:line="360" w:lineRule="auto"/>
              <w:jc w:val="both"/>
              <w:rPr>
                <w:rFonts w:ascii="Times New Roman" w:hAnsi="Times New Roman"/>
                <w:sz w:val="28"/>
                <w:szCs w:val="28"/>
              </w:rPr>
            </w:pPr>
            <w:r w:rsidRPr="00C8397D">
              <w:rPr>
                <w:rFonts w:ascii="Times New Roman" w:hAnsi="Times New Roman"/>
                <w:sz w:val="28"/>
                <w:szCs w:val="28"/>
              </w:rPr>
              <w:t>L&amp;T</w:t>
            </w:r>
          </w:p>
        </w:tc>
        <w:tc>
          <w:tcPr>
            <w:tcW w:w="1353"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1275</w:t>
            </w:r>
          </w:p>
        </w:tc>
        <w:tc>
          <w:tcPr>
            <w:tcW w:w="1477"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Кільцева дорога</w:t>
            </w:r>
          </w:p>
        </w:tc>
        <w:tc>
          <w:tcPr>
            <w:tcW w:w="1342" w:type="dxa"/>
          </w:tcPr>
          <w:p w:rsidR="00192005" w:rsidRPr="00C8397D" w:rsidRDefault="0019200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Розширення</w:t>
            </w:r>
          </w:p>
        </w:tc>
      </w:tr>
    </w:tbl>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Рівень вакантності</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Станом на кінець березня 2012 року, рівень первинної вакантності в секторі логістичної нерухомості склав 13,8%, скоротившись на 1,9% в порівнянні з четвертим кварталом 2011 року. Подібна динаміка пов’язана в першу чергу з відсутністю пропозиції нових об’єктів складської та логістичної нерухомості в І кварталі 2012 року.</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той же час, рівень первинної вакантності в Київському регіоні в кінці І кварталу 2012 року був на 0,9% і 5,9% нижче показників І кварталу 2011 і 2010 років відповідно.</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Таким чином, в 2012 році рівень первинної вакантності в сегменті логістичної і складської нерухомості дещо зменшився, але все ще буде перевищувати 10%.</w:t>
      </w:r>
    </w:p>
    <w:p w:rsidR="00192005" w:rsidRPr="00C8397D" w:rsidRDefault="00192005" w:rsidP="00192005">
      <w:pPr>
        <w:spacing w:after="0" w:line="360" w:lineRule="auto"/>
        <w:ind w:firstLine="709"/>
        <w:jc w:val="both"/>
        <w:rPr>
          <w:rFonts w:ascii="Times New Roman" w:hAnsi="Times New Roman"/>
          <w:sz w:val="28"/>
          <w:szCs w:val="28"/>
          <w:u w:val="single"/>
          <w:lang w:val="uk-UA"/>
        </w:rPr>
      </w:pPr>
      <w:r w:rsidRPr="00C8397D">
        <w:rPr>
          <w:rFonts w:ascii="Times New Roman" w:hAnsi="Times New Roman"/>
          <w:sz w:val="28"/>
          <w:szCs w:val="28"/>
          <w:u w:val="single"/>
          <w:lang w:val="uk-UA"/>
        </w:rPr>
        <w:t>Об’єкти, розташовані в межах міста Києва</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Логістичні та складські приміщення в межах міста Києва продовжують користуватися попитом, в першу чергу, серед виробничих, дистриб’юторських компаній, компаній роздрібної торгівлі, а також серед компаній перевізників, зокрема експрес-доставки, що орендують відносно невеликі складські приміщення в діапазоні від 100-</w:t>
      </w:r>
      <w:smartTag w:uri="urn:schemas-microsoft-com:office:smarttags" w:element="metricconverter">
        <w:smartTagPr>
          <w:attr w:name="ProductID" w:val="200 кв. м"/>
        </w:smartTagPr>
        <w:r w:rsidRPr="00C8397D">
          <w:rPr>
            <w:rFonts w:ascii="Times New Roman" w:hAnsi="Times New Roman"/>
            <w:sz w:val="28"/>
            <w:szCs w:val="28"/>
            <w:lang w:val="uk-UA"/>
          </w:rPr>
          <w:t>200 кв. м</w:t>
        </w:r>
      </w:smartTag>
      <w:r w:rsidRPr="00C8397D">
        <w:rPr>
          <w:rFonts w:ascii="Times New Roman" w:hAnsi="Times New Roman"/>
          <w:sz w:val="28"/>
          <w:szCs w:val="28"/>
          <w:lang w:val="uk-UA"/>
        </w:rPr>
        <w:t xml:space="preserve"> до 2000-</w:t>
      </w:r>
      <w:smartTag w:uri="urn:schemas-microsoft-com:office:smarttags" w:element="metricconverter">
        <w:smartTagPr>
          <w:attr w:name="ProductID" w:val="5000 кв. м"/>
        </w:smartTagPr>
        <w:r w:rsidRPr="00C8397D">
          <w:rPr>
            <w:rFonts w:ascii="Times New Roman" w:hAnsi="Times New Roman"/>
            <w:sz w:val="28"/>
            <w:szCs w:val="28"/>
            <w:lang w:val="uk-UA"/>
          </w:rPr>
          <w:t>5000 кв. м</w:t>
        </w:r>
      </w:smartTag>
      <w:r w:rsidRPr="00C8397D">
        <w:rPr>
          <w:rFonts w:ascii="Times New Roman" w:hAnsi="Times New Roman"/>
          <w:sz w:val="28"/>
          <w:szCs w:val="28"/>
          <w:lang w:val="uk-UA"/>
        </w:rPr>
        <w:t>, в безпосередній близькості до основних офісних локацій (часто великих за площею будівель), що вигідно розташовані, наприклад, відносно ключових клієнтів та/або в районах основних транспортних розв’язок.</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Частина цих компаній додатково орендують логістичні приміщення в межах великомасштабних об'єктів, розташованих в Київському регіоні поза міською смугою.</w:t>
      </w:r>
    </w:p>
    <w:p w:rsidR="00192005" w:rsidRPr="00C8397D" w:rsidRDefault="00192005" w:rsidP="00192005">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Рівень орендних ставок на логістичні та складські приміщення Київського регіону</w:t>
      </w:r>
    </w:p>
    <w:p w:rsidR="00192005" w:rsidRPr="00C8397D" w:rsidRDefault="00192005" w:rsidP="00192005">
      <w:pPr>
        <w:spacing w:after="0" w:line="360" w:lineRule="auto"/>
        <w:ind w:firstLine="709"/>
        <w:jc w:val="both"/>
        <w:rPr>
          <w:rFonts w:ascii="Times New Roman" w:hAnsi="Times New Roman"/>
          <w:sz w:val="28"/>
          <w:szCs w:val="28"/>
          <w:u w:val="single"/>
          <w:lang w:val="uk-UA"/>
        </w:rPr>
      </w:pPr>
      <w:r w:rsidRPr="00C8397D">
        <w:rPr>
          <w:rFonts w:ascii="Times New Roman" w:hAnsi="Times New Roman"/>
          <w:sz w:val="28"/>
          <w:szCs w:val="28"/>
          <w:u w:val="single"/>
          <w:lang w:val="uk-UA"/>
        </w:rPr>
        <w:t>Київський регіон</w:t>
      </w:r>
    </w:p>
    <w:p w:rsidR="00192005" w:rsidRPr="00C8397D" w:rsidRDefault="00192005" w:rsidP="00192005">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І кварталі 2012 року базова орендна ставка на сучасні складські приміщення, розташовані на західному березі річки Дніпро Київського регіону, коливалась в межах від 5,5 до 7 дол. США за кв. м на місяць, в той час, як орендна ставка на східному березі варіювала від 4,5 до 6 дол. США за кв. м. Розмір орендної ставки в цілому залежав від рівня якості приміщення, місця його розташування, а також умов оренди.</w:t>
      </w:r>
    </w:p>
    <w:p w:rsidR="00192005" w:rsidRPr="00C8397D" w:rsidRDefault="00192005" w:rsidP="00192005">
      <w:pPr>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extent cx="3900805" cy="261683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l="4088" t="30397" r="74802" b="44768"/>
                    <a:stretch>
                      <a:fillRect/>
                    </a:stretch>
                  </pic:blipFill>
                  <pic:spPr bwMode="auto">
                    <a:xfrm>
                      <a:off x="0" y="0"/>
                      <a:ext cx="3900805" cy="2616835"/>
                    </a:xfrm>
                    <a:prstGeom prst="rect">
                      <a:avLst/>
                    </a:prstGeom>
                    <a:noFill/>
                    <a:ln>
                      <a:noFill/>
                    </a:ln>
                  </pic:spPr>
                </pic:pic>
              </a:graphicData>
            </a:graphic>
          </wp:inline>
        </w:drawing>
      </w:r>
    </w:p>
    <w:p w:rsidR="00192005" w:rsidRPr="00C8397D" w:rsidRDefault="00192005" w:rsidP="00192005">
      <w:pPr>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Графі</w:t>
      </w:r>
      <w:r w:rsidRPr="00C8397D">
        <w:rPr>
          <w:rFonts w:ascii="Times New Roman" w:hAnsi="Times New Roman"/>
          <w:sz w:val="28"/>
          <w:szCs w:val="28"/>
          <w:lang w:val="uk-UA"/>
        </w:rPr>
        <w:t>к 4.3.7.5 - Найвищі орендні ставки на складські приміщення в передмістях Києва та столиць інших країн Центральної та Східної Європи</w:t>
      </w:r>
    </w:p>
    <w:p w:rsidR="00192005" w:rsidRPr="00C8397D" w:rsidRDefault="00192005" w:rsidP="00192005">
      <w:pPr>
        <w:tabs>
          <w:tab w:val="left" w:pos="154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Отже, базова орендна ставка на найбільш якісні приміщення Київського регіону, в цілому, відповідає рівню ставок на аналогічні приміщення в передмістях Бухаресту (Румунія), Праги (Чеська республіка) і Кракова (Польща), але є нижчою від передмість Москви (Росія) та Варшави (Польща).</w:t>
      </w:r>
    </w:p>
    <w:p w:rsidR="00192005" w:rsidRPr="00C8397D" w:rsidRDefault="00192005" w:rsidP="00192005">
      <w:pPr>
        <w:tabs>
          <w:tab w:val="left" w:pos="1545"/>
        </w:tabs>
        <w:spacing w:after="0" w:line="360" w:lineRule="auto"/>
        <w:ind w:firstLine="709"/>
        <w:jc w:val="both"/>
        <w:rPr>
          <w:rFonts w:ascii="Times New Roman" w:hAnsi="Times New Roman"/>
          <w:sz w:val="28"/>
          <w:szCs w:val="28"/>
          <w:u w:val="single"/>
          <w:lang w:val="uk-UA"/>
        </w:rPr>
      </w:pPr>
      <w:r w:rsidRPr="00C8397D">
        <w:rPr>
          <w:rFonts w:ascii="Times New Roman" w:hAnsi="Times New Roman"/>
          <w:sz w:val="28"/>
          <w:szCs w:val="28"/>
          <w:u w:val="single"/>
          <w:lang w:val="uk-UA"/>
        </w:rPr>
        <w:t>Об’єкти, розташовані в межах міста Києва</w:t>
      </w:r>
    </w:p>
    <w:p w:rsidR="00192005" w:rsidRPr="00C8397D" w:rsidRDefault="00192005" w:rsidP="00192005">
      <w:pPr>
        <w:tabs>
          <w:tab w:val="left" w:pos="154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І кварталі 2012 року орендні ставки на логістичні і складські приміщення в межах міста Києва оцінювались в діапазоні від 4 до 8 дол. США за кв. м в місяць, в залежності від рівня якості приміщення, загальних умов оренди, групи товарів, що підлягають зберіганню та наявності додаткової специфікації в приміщеннях.</w:t>
      </w:r>
    </w:p>
    <w:p w:rsidR="00192005" w:rsidRPr="00C8397D" w:rsidRDefault="00192005" w:rsidP="00192005">
      <w:pPr>
        <w:tabs>
          <w:tab w:val="left" w:pos="154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точки зору експертів компанії DTZ, за інших рівних умов, в 2012 році рівень орендних ставок на найбільш якісні логістичні приміщення Київського регіону суттєво не зміниться.</w:t>
      </w:r>
    </w:p>
    <w:p w:rsidR="00192005" w:rsidRPr="00C8397D" w:rsidRDefault="00192005" w:rsidP="00192005">
      <w:pPr>
        <w:tabs>
          <w:tab w:val="left" w:pos="1545"/>
        </w:tabs>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Прогнози</w:t>
      </w:r>
    </w:p>
    <w:p w:rsidR="00192005" w:rsidRPr="00C8397D" w:rsidRDefault="00192005" w:rsidP="00192005">
      <w:pPr>
        <w:tabs>
          <w:tab w:val="left" w:pos="154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Зважаючи на існуючу економічну кон’юнктуру і на кількість запланованих до вводу в експлуатацію об’єктів складської нерухомості Київського регіону, показник вакантності в сегменті буде поступово зменшуватися протягом 2012 року, але залишиться на рівні вище 10%. При цьому рівень орендних ставок суттєвої зміни не зазнає.</w:t>
      </w:r>
    </w:p>
    <w:p w:rsidR="00192005" w:rsidRPr="00C8397D" w:rsidRDefault="00192005" w:rsidP="00192005">
      <w:pPr>
        <w:tabs>
          <w:tab w:val="left" w:pos="154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Очікуване в середньостроковій перспективі пожвавлення ділової активності і підвищення рівня попиту з боку орендарів можуть спонукати до скорочення рівня вакантності і тимчасовому підвищенню орендних ставок на складські приміщення Київського регіону. Однак, згідно з оцінками експертів, еластичність пропозиції логістичної нерухомості до її вартості є вищою в порівнянні з іншими сегментами комерційної нерухомості в Україні, тому динаміка виведення на ринок нових об’єктів в сегменті логістики може відновитися відносно швидко.</w:t>
      </w:r>
    </w:p>
    <w:p w:rsidR="00192005" w:rsidRPr="00C8397D" w:rsidRDefault="00192005" w:rsidP="00192005">
      <w:pPr>
        <w:tabs>
          <w:tab w:val="left" w:pos="1545"/>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довгостроковій перспективі, рівень пропозиції нових сучасних приміщень логістичного сектору нерухомості в межах міста Києва, з високою вірогідністю, залишиться обмеженим, при цьому в складі пропозиції будуть надалі переважати промислові та складські об’єкти старого будівництва радянського типу, розташовані в межах промислових зон міста, іноді частково відремонтовані чи реконструйовані.</w:t>
      </w:r>
    </w:p>
    <w:p w:rsidR="00791E58" w:rsidRDefault="00791E58">
      <w:bookmarkStart w:id="0" w:name="_GoBack"/>
      <w:bookmarkEnd w:id="0"/>
    </w:p>
    <w:sectPr w:rsidR="00791E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01A1"/>
    <w:multiLevelType w:val="hybridMultilevel"/>
    <w:tmpl w:val="4656A5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2C45610"/>
    <w:multiLevelType w:val="hybridMultilevel"/>
    <w:tmpl w:val="C60070A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F5A2A80"/>
    <w:multiLevelType w:val="hybridMultilevel"/>
    <w:tmpl w:val="6262AA2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0554072"/>
    <w:multiLevelType w:val="hybridMultilevel"/>
    <w:tmpl w:val="3CE8F24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42E6E90"/>
    <w:multiLevelType w:val="hybridMultilevel"/>
    <w:tmpl w:val="8FFE789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16C1103C"/>
    <w:multiLevelType w:val="hybridMultilevel"/>
    <w:tmpl w:val="0EF06AC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5F9764C"/>
    <w:multiLevelType w:val="multilevel"/>
    <w:tmpl w:val="71844C0E"/>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7">
    <w:nsid w:val="295E2CDF"/>
    <w:multiLevelType w:val="hybridMultilevel"/>
    <w:tmpl w:val="258A9CE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297F18EC"/>
    <w:multiLevelType w:val="hybridMultilevel"/>
    <w:tmpl w:val="9512763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2B5B0281"/>
    <w:multiLevelType w:val="multilevel"/>
    <w:tmpl w:val="8FFE789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0">
    <w:nsid w:val="2F2F5568"/>
    <w:multiLevelType w:val="multilevel"/>
    <w:tmpl w:val="258A9CE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352A4144"/>
    <w:multiLevelType w:val="hybridMultilevel"/>
    <w:tmpl w:val="106A0BD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358268A1"/>
    <w:multiLevelType w:val="hybridMultilevel"/>
    <w:tmpl w:val="71844C0E"/>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3A6F659F"/>
    <w:multiLevelType w:val="hybridMultilevel"/>
    <w:tmpl w:val="9EE0616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3BC40B54"/>
    <w:multiLevelType w:val="multilevel"/>
    <w:tmpl w:val="9512763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5">
    <w:nsid w:val="3ED07BB8"/>
    <w:multiLevelType w:val="multilevel"/>
    <w:tmpl w:val="106A0BD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nsid w:val="40AD7374"/>
    <w:multiLevelType w:val="hybridMultilevel"/>
    <w:tmpl w:val="F40C279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AEC1382"/>
    <w:multiLevelType w:val="multilevel"/>
    <w:tmpl w:val="679C2562"/>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8">
    <w:nsid w:val="510918F9"/>
    <w:multiLevelType w:val="hybridMultilevel"/>
    <w:tmpl w:val="679C2562"/>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51502606"/>
    <w:multiLevelType w:val="multilevel"/>
    <w:tmpl w:val="3E64DD5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
    <w:nsid w:val="54A924E3"/>
    <w:multiLevelType w:val="hybridMultilevel"/>
    <w:tmpl w:val="898C50C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55B13A5E"/>
    <w:multiLevelType w:val="hybridMultilevel"/>
    <w:tmpl w:val="4A40FB2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1BC48C60">
      <w:start w:val="5"/>
      <w:numFmt w:val="bullet"/>
      <w:lvlText w:val=""/>
      <w:lvlJc w:val="left"/>
      <w:pPr>
        <w:tabs>
          <w:tab w:val="num" w:pos="2869"/>
        </w:tabs>
        <w:ind w:left="2869" w:hanging="360"/>
      </w:pPr>
      <w:rPr>
        <w:rFonts w:ascii="Symbol" w:eastAsia="SimSun" w:hAnsi="Symbol" w:cs="Times New Roman" w:hint="default"/>
      </w:rPr>
    </w:lvl>
    <w:lvl w:ilvl="3" w:tplc="5EDEBDCC">
      <w:start w:val="3"/>
      <w:numFmt w:val="bullet"/>
      <w:lvlText w:val="-"/>
      <w:lvlJc w:val="left"/>
      <w:pPr>
        <w:tabs>
          <w:tab w:val="num" w:pos="3589"/>
        </w:tabs>
        <w:ind w:left="3589" w:hanging="360"/>
      </w:pPr>
      <w:rPr>
        <w:rFonts w:ascii="Times New Roman" w:eastAsia="SimSun" w:hAnsi="Times New Roman" w:cs="Times New Roman"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5D6B2E3D"/>
    <w:multiLevelType w:val="hybridMultilevel"/>
    <w:tmpl w:val="3E64DD5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67711DA2"/>
    <w:multiLevelType w:val="multilevel"/>
    <w:tmpl w:val="898C50C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4">
    <w:nsid w:val="677703DB"/>
    <w:multiLevelType w:val="hybridMultilevel"/>
    <w:tmpl w:val="3AA2E88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6BB726C7"/>
    <w:multiLevelType w:val="multilevel"/>
    <w:tmpl w:val="3CE8F24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6">
    <w:nsid w:val="6BEF7D27"/>
    <w:multiLevelType w:val="hybridMultilevel"/>
    <w:tmpl w:val="474C809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71146D9E"/>
    <w:multiLevelType w:val="hybridMultilevel"/>
    <w:tmpl w:val="3A0E967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77525970"/>
    <w:multiLevelType w:val="hybridMultilevel"/>
    <w:tmpl w:val="EADC8C9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7D9E7695"/>
    <w:multiLevelType w:val="multilevel"/>
    <w:tmpl w:val="6262AA2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num w:numId="1">
    <w:abstractNumId w:val="18"/>
  </w:num>
  <w:num w:numId="2">
    <w:abstractNumId w:val="17"/>
  </w:num>
  <w:num w:numId="3">
    <w:abstractNumId w:val="5"/>
  </w:num>
  <w:num w:numId="4">
    <w:abstractNumId w:val="3"/>
  </w:num>
  <w:num w:numId="5">
    <w:abstractNumId w:val="25"/>
  </w:num>
  <w:num w:numId="6">
    <w:abstractNumId w:val="24"/>
  </w:num>
  <w:num w:numId="7">
    <w:abstractNumId w:val="2"/>
  </w:num>
  <w:num w:numId="8">
    <w:abstractNumId w:val="29"/>
  </w:num>
  <w:num w:numId="9">
    <w:abstractNumId w:val="27"/>
  </w:num>
  <w:num w:numId="10">
    <w:abstractNumId w:val="12"/>
  </w:num>
  <w:num w:numId="11">
    <w:abstractNumId w:val="6"/>
  </w:num>
  <w:num w:numId="12">
    <w:abstractNumId w:val="0"/>
  </w:num>
  <w:num w:numId="13">
    <w:abstractNumId w:val="22"/>
  </w:num>
  <w:num w:numId="14">
    <w:abstractNumId w:val="19"/>
  </w:num>
  <w:num w:numId="15">
    <w:abstractNumId w:val="26"/>
  </w:num>
  <w:num w:numId="16">
    <w:abstractNumId w:val="20"/>
  </w:num>
  <w:num w:numId="17">
    <w:abstractNumId w:val="23"/>
  </w:num>
  <w:num w:numId="18">
    <w:abstractNumId w:val="28"/>
  </w:num>
  <w:num w:numId="19">
    <w:abstractNumId w:val="7"/>
  </w:num>
  <w:num w:numId="20">
    <w:abstractNumId w:val="10"/>
  </w:num>
  <w:num w:numId="21">
    <w:abstractNumId w:val="13"/>
  </w:num>
  <w:num w:numId="22">
    <w:abstractNumId w:val="8"/>
  </w:num>
  <w:num w:numId="23">
    <w:abstractNumId w:val="14"/>
  </w:num>
  <w:num w:numId="24">
    <w:abstractNumId w:val="21"/>
  </w:num>
  <w:num w:numId="25">
    <w:abstractNumId w:val="4"/>
  </w:num>
  <w:num w:numId="26">
    <w:abstractNumId w:val="9"/>
  </w:num>
  <w:num w:numId="27">
    <w:abstractNumId w:val="16"/>
  </w:num>
  <w:num w:numId="28">
    <w:abstractNumId w:val="11"/>
  </w:num>
  <w:num w:numId="29">
    <w:abstractNumId w:val="1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9F6"/>
    <w:rsid w:val="00192005"/>
    <w:rsid w:val="00791E58"/>
    <w:rsid w:val="00F72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005"/>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table" w:styleId="a3">
    <w:name w:val="Table Grid"/>
    <w:basedOn w:val="a1"/>
    <w:rsid w:val="00192005"/>
    <w:pPr>
      <w:widowControl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192005"/>
    <w:rPr>
      <w:color w:val="0000FF"/>
      <w:u w:val="single"/>
    </w:rPr>
  </w:style>
  <w:style w:type="paragraph" w:styleId="a5">
    <w:name w:val="Balloon Text"/>
    <w:basedOn w:val="a"/>
    <w:link w:val="a6"/>
    <w:uiPriority w:val="99"/>
    <w:semiHidden/>
    <w:unhideWhenUsed/>
    <w:rsid w:val="001920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92005"/>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005"/>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table" w:styleId="a3">
    <w:name w:val="Table Grid"/>
    <w:basedOn w:val="a1"/>
    <w:rsid w:val="00192005"/>
    <w:pPr>
      <w:widowControl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192005"/>
    <w:rPr>
      <w:color w:val="0000FF"/>
      <w:u w:val="single"/>
    </w:rPr>
  </w:style>
  <w:style w:type="paragraph" w:styleId="a5">
    <w:name w:val="Balloon Text"/>
    <w:basedOn w:val="a"/>
    <w:link w:val="a6"/>
    <w:uiPriority w:val="99"/>
    <w:semiHidden/>
    <w:unhideWhenUsed/>
    <w:rsid w:val="001920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92005"/>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1.png"/><Relationship Id="rId21" Type="http://schemas.openxmlformats.org/officeDocument/2006/relationships/image" Target="media/image16.png"/><Relationship Id="rId34" Type="http://schemas.openxmlformats.org/officeDocument/2006/relationships/hyperlink" Target="http://www.the-village.ru/cities/kiev/events/1249-idea-breakfast" TargetMode="External"/><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yperlink" Target="http://www.comman.com.ua/article/46/" TargetMode="External"/><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hyperlink" Target="http://oasis-restaurant.kiev.ua" TargetMode="External"/><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3.pn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40768</Words>
  <Characters>232379</Characters>
  <Application>Microsoft Office Word</Application>
  <DocSecurity>0</DocSecurity>
  <Lines>1936</Lines>
  <Paragraphs>545</Paragraphs>
  <ScaleCrop>false</ScaleCrop>
  <Company/>
  <LinksUpToDate>false</LinksUpToDate>
  <CharactersWithSpaces>272602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2013-07-18T08:29:00Z</dcterms:created>
  <dcterms:modified xsi:type="dcterms:W3CDTF">2013-07-18T08:29:00Z</dcterms:modified>
</cp:coreProperties>
</file>