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61" w:rsidRPr="004A4360" w:rsidRDefault="00EF4A61" w:rsidP="00EF4A61">
      <w:pPr>
        <w:spacing w:line="360" w:lineRule="auto"/>
        <w:jc w:val="both"/>
        <w:outlineLvl w:val="1"/>
        <w:rPr>
          <w:b/>
          <w:sz w:val="28"/>
          <w:szCs w:val="28"/>
          <w:lang w:val="uk-UA"/>
        </w:rPr>
      </w:pPr>
      <w:bookmarkStart w:id="0" w:name="_Toc359661142"/>
      <w:r w:rsidRPr="004A4360">
        <w:rPr>
          <w:b/>
          <w:sz w:val="28"/>
          <w:szCs w:val="28"/>
          <w:lang w:val="uk-UA"/>
        </w:rPr>
        <w:t>3.6. Рейтинг відповідності складової Національного проекту «Місто майбутнього» та умов її реалізації</w:t>
      </w:r>
      <w:bookmarkEnd w:id="0"/>
    </w:p>
    <w:p w:rsidR="00EF4A61" w:rsidRPr="004A4360" w:rsidRDefault="00EF4A61" w:rsidP="00EF4A61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Розроблений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критеріальний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апарат дозволяє узагальнити висновки аналізу відповідності складової Національного проекту «Місто майбутнього» та умов її реалізації у вигляді рейтингу, що передбачає бальне оцінювання за кожним із запропонованих індикаторів.</w:t>
      </w:r>
    </w:p>
    <w:p w:rsidR="00EF4A61" w:rsidRPr="004A4360" w:rsidRDefault="00EF4A61" w:rsidP="00EF4A61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Розподіл балів для кількісного оцінювання проектів, поданих на номінацію складової національного проекту «Місто майбутнього», представлено у таблиці 3.2.</w:t>
      </w:r>
    </w:p>
    <w:p w:rsidR="00EF4A61" w:rsidRPr="004A4360" w:rsidRDefault="00EF4A61" w:rsidP="00EF4A61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Таблиця 3.2 – Розподіл балів для кількісного оцінювання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559"/>
        <w:gridCol w:w="1985"/>
        <w:gridCol w:w="1701"/>
        <w:gridCol w:w="1700"/>
        <w:gridCol w:w="1702"/>
      </w:tblGrid>
      <w:tr w:rsidR="00EF4A61" w:rsidRPr="004A4360" w:rsidTr="00876F0A">
        <w:tc>
          <w:tcPr>
            <w:tcW w:w="817" w:type="dxa"/>
            <w:vMerge w:val="restart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з/р</w:t>
            </w:r>
          </w:p>
        </w:tc>
        <w:tc>
          <w:tcPr>
            <w:tcW w:w="1559" w:type="dxa"/>
            <w:vMerge w:val="restart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індикатору</w:t>
            </w:r>
          </w:p>
        </w:tc>
        <w:tc>
          <w:tcPr>
            <w:tcW w:w="7088" w:type="dxa"/>
            <w:gridSpan w:val="4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балів</w:t>
            </w:r>
          </w:p>
        </w:tc>
      </w:tr>
      <w:tr w:rsidR="00EF4A61" w:rsidRPr="004A4360" w:rsidTr="00876F0A">
        <w:tc>
          <w:tcPr>
            <w:tcW w:w="817" w:type="dxa"/>
            <w:vMerge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vMerge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EF4A61" w:rsidRPr="004A4360" w:rsidTr="00876F0A">
        <w:tc>
          <w:tcPr>
            <w:tcW w:w="9464" w:type="dxa"/>
            <w:gridSpan w:val="6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Критерій 1. Доцільність реалізації проектної пропозиції як складової Національного проекту «Місто майбутнього»</w:t>
            </w:r>
          </w:p>
        </w:tc>
      </w:tr>
      <w:tr w:rsidR="00EF4A61" w:rsidRPr="004A4360" w:rsidTr="00876F0A">
        <w:tc>
          <w:tcPr>
            <w:tcW w:w="9464" w:type="dxa"/>
            <w:gridSpan w:val="6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Показник 1.1. Відповідність проекту номінації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1.1.1. Цілі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співпадає зі стратегічною метою Нацпроекту «Місто майбутнього»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не співпадає зі стратегічною метою Нацпроекту «Місто майбутнього»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співпадає зі стратегічною метою Нацпроекту «Місто майбутнього»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1.1.2. Очікувані результати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Очікується досягнення усіх 4 стратегічних результатів</w:t>
            </w:r>
          </w:p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Нацпроекту «Місто майбутнього»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Очікується досягнення 3 стратегічних результатів Нацпроекту «Місто майбутнього»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Очікується досягнення 2 стратегічних результатів Нацпроекту «Місто майбутнього»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Очікується досягнення усіх 4 стратегічних результатів Нацпроекту «Місто майбутнього»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1.1.3. Рівень рішення </w:t>
            </w:r>
            <w:proofErr w:type="spellStart"/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містобудування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рівні вищим за кращі світові практики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рівні кращих світових практик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рівні вищим за стандартний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стандартному рівні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1.1.4.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Спрямування наданих із державного бюджету коштів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Виключно на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створення базової інфраструктури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На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створення базової інфраструктури та підготовку інвестиційних площадок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На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створення базової інфраструктури, підготовку інвестиційних площадок, створення ключових об’єктів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На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створення інфраструктури, підготовку інвестиційних площадок, створення ключових об’єктів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1.1.5. Державно-приватне партнерство (ДПП)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Передбачається розроблення механізму реалізації ДПП, створення керуючої компанії; визначення і затвердження організаційного та правового механізмів реалізації інвестиційних проектів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Передбачається створення керуючої компанії; визначення і затвердження організаційного та правового механізмів реалізації інвестиційних проектів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Передбачається створення керуючої компанії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визначено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1.1.6. Участь населення території проекту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активна участь громади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громадські обговорення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інформування громади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передбачено</w:t>
            </w:r>
          </w:p>
        </w:tc>
      </w:tr>
      <w:tr w:rsidR="00EF4A61" w:rsidRPr="004A4360" w:rsidTr="00876F0A">
        <w:tc>
          <w:tcPr>
            <w:tcW w:w="9464" w:type="dxa"/>
            <w:gridSpan w:val="6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Показник 1.2. Відповідність цілей складової національного проекту напрямам розвитку, що затверджені програмними та стратегічними документами розвитку держави на період до 2015 року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1.2.1. Програма економічних реформ </w:t>
            </w:r>
            <w:r w:rsidRPr="004A4360">
              <w:rPr>
                <w:rStyle w:val="st96"/>
                <w:sz w:val="28"/>
                <w:szCs w:val="28"/>
                <w:lang w:val="uk-UA"/>
              </w:rPr>
              <w:t>«Заможне суспільство….»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Відповідає 2 і більше стратегічним напрямам 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Відповідає 1 стратегічному напряму, але конкретно відображає напрямок реформ 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 межах 1 стратегічного напряму 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 жодному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1.2.2. Програма активізації розвитку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економіки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Відповідає 2 і більше завданням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Відповідає 1 завданню, але з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конкретизацією кількох напрямів 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У межах 1 завдання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 жодному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1.2.3. Державна стратегія регіонального розвитку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завданням і кільком пріоритетним напрямам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завданню і кільком пріоритетним напрямам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пріоритетному напряму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 жодному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1.2.4. Стратегія розвитку громадянського суспільства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відповідає за визначеними заходами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не відповідає за визначеними заходами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враховано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1.2.5. Стратегія екологічної політики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цілям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відповідає 1 цілі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відповідає 1 цілі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</w:tr>
      <w:tr w:rsidR="00EF4A61" w:rsidRPr="004A4360" w:rsidTr="00876F0A">
        <w:tc>
          <w:tcPr>
            <w:tcW w:w="9464" w:type="dxa"/>
            <w:gridSpan w:val="6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Показник 1.3. Значущість результатів реалізації складової національного проекту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1.3.1. Значущість результатів реалізації складової національного проекту для держави у цілому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 є необхідним для підвищення іміджу держави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 є одним із засобів підвищення іміджу держави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 частково сприяє підвищенню іміджу держави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 дещо сприяє підвищенню іміджу держави або такий вплив не очікується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1.3.2. Значущість результатів реалізації складової національного проекту для територіально-адміністративної одиниці, в якої планується реалізація складової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є необхідним для підвищення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є одним із засобів підвищення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частково сприяє підвищенню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дещо сприяє підвищенню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 або такий вплив не очікується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1.3.3. Значущість результатів реалізації складової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національного проекту для населення його території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Проект є необхідним для підвищення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якості життя населення його території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Проект є одним із засобів підвищення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якості життя населення його території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Проект частково сприяє підвищенн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ю якості життя населення його території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Проект дещо сприяє підвищенн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ю якості життя населення його території, або такий вплив не очікується, або проект має певні</w:t>
            </w:r>
          </w:p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негативні наслідки для населення його території 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1.3.4. Значущість результатів реалізації складової національного проекту для комерційних споживачів продукту проекту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є необхідним для підвищення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галузі, в якої діють комерційні споживачі його продукту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є одним із засобів підвищення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галузі, в якої діють комерційні споживачі його продукту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частково сприяє підвищенню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галузі, в якої діють комерційні споживачі його продукту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дещо сприяє підвищенню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конкуренто-здатності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галузі, в якої діють комерційні споживачі його продукту, або такий вплив очікується тільки для певних її представників</w:t>
            </w:r>
          </w:p>
        </w:tc>
      </w:tr>
      <w:tr w:rsidR="00EF4A61" w:rsidRPr="004A4360" w:rsidTr="00876F0A">
        <w:tc>
          <w:tcPr>
            <w:tcW w:w="9464" w:type="dxa"/>
            <w:gridSpan w:val="6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Критерій 2. Можливість реалізації проектної пропозиції як складової Національного проекту «Місто майбутнього»</w:t>
            </w:r>
          </w:p>
        </w:tc>
      </w:tr>
      <w:tr w:rsidR="00EF4A61" w:rsidRPr="004A4360" w:rsidTr="00876F0A">
        <w:tc>
          <w:tcPr>
            <w:tcW w:w="9464" w:type="dxa"/>
            <w:gridSpan w:val="6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Показник 2.1. Відповідність цілей складової національного проекту напрямам розвитку, що встановлені стратегічними та програмними документами щодо сталого розвитку територій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EF4A61">
            <w:pPr>
              <w:pStyle w:val="ListParagraph"/>
              <w:widowControl/>
              <w:numPr>
                <w:ilvl w:val="2"/>
                <w:numId w:val="1"/>
              </w:numPr>
              <w:autoSpaceDE/>
              <w:autoSpaceDN/>
              <w:adjustRightInd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Стратегія сталого розвитку регіону 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ініціативам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Відповідає 1 стратегічній ініціативі,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але конкретно відображає кілька цілей розвитку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У межах 1 стратегічної ініціативи 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 жодній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EF4A61">
            <w:pPr>
              <w:pStyle w:val="ListParagraph"/>
              <w:widowControl/>
              <w:numPr>
                <w:ilvl w:val="2"/>
                <w:numId w:val="1"/>
              </w:numPr>
              <w:autoSpaceDE/>
              <w:autoSpaceDN/>
              <w:adjustRightInd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Комплексна програма розвитку регіону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 у межах регіону та 2 і більше у межах конкретної території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Відповідає 1 завданню у межах регіону і 1 у межах конкретної території 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межах 1 завдання для регіону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 жодному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EF4A61">
            <w:pPr>
              <w:pStyle w:val="ListParagraph"/>
              <w:widowControl/>
              <w:numPr>
                <w:ilvl w:val="2"/>
                <w:numId w:val="1"/>
              </w:numPr>
              <w:autoSpaceDE/>
              <w:autoSpaceDN/>
              <w:adjustRightInd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Державні і регіональні цільові програми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цільовим програмам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відповідає 1 цільовій програмі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відповідає 1 цільовій програмі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</w:tr>
      <w:tr w:rsidR="00EF4A61" w:rsidRPr="004A4360" w:rsidTr="00876F0A">
        <w:tc>
          <w:tcPr>
            <w:tcW w:w="9464" w:type="dxa"/>
            <w:gridSpan w:val="6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Показник 2.2. Відповідність цілей проекту стратегічно важливим інвестиційним проектам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EF4A61">
            <w:pPr>
              <w:pStyle w:val="ListParagraph"/>
              <w:widowControl/>
              <w:numPr>
                <w:ilvl w:val="2"/>
                <w:numId w:val="1"/>
              </w:numPr>
              <w:autoSpaceDE/>
              <w:autoSpaceDN/>
              <w:adjustRightInd/>
              <w:ind w:left="34" w:hanging="34"/>
              <w:contextualSpacing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проектів Європейської комісії у межах Програми «Підтримка політики регіонального розвитку в Україні»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двом програмним напрямкам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програмному напрямку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окремим видам діяльності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EF4A61">
            <w:pPr>
              <w:pStyle w:val="ListParagraph"/>
              <w:widowControl/>
              <w:numPr>
                <w:ilvl w:val="2"/>
                <w:numId w:val="1"/>
              </w:numPr>
              <w:autoSpaceDE/>
              <w:autoSpaceDN/>
              <w:adjustRightInd/>
              <w:ind w:left="34" w:hanging="34"/>
              <w:contextualSpacing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ЄС ПРООН «Місцевий розвиток, орієнтований на громаду -ІІ»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відповідає стратегічній меті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не відповідає стратегічній меті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відповідає стратегічній меті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EF4A61">
            <w:pPr>
              <w:pStyle w:val="ListParagraph"/>
              <w:widowControl/>
              <w:numPr>
                <w:ilvl w:val="2"/>
                <w:numId w:val="1"/>
              </w:numPr>
              <w:autoSpaceDE/>
              <w:autoSpaceDN/>
              <w:adjustRightInd/>
              <w:ind w:left="34" w:hanging="34"/>
              <w:contextualSpacing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Конкурс із відбору інвестиційних програм (проектів), що можуть реалізовуватись за рахунок коштів державного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фонду регіонального розвитку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Відповідає 5 та більше критеріям відбору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3 - 4 критеріям відбору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критеріям відбору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критерію відбору або не відповідає жодному</w:t>
            </w:r>
          </w:p>
        </w:tc>
      </w:tr>
      <w:tr w:rsidR="00EF4A61" w:rsidRPr="004A4360" w:rsidTr="00876F0A">
        <w:tc>
          <w:tcPr>
            <w:tcW w:w="2376" w:type="dxa"/>
            <w:gridSpan w:val="2"/>
          </w:tcPr>
          <w:p w:rsidR="00EF4A61" w:rsidRPr="004A4360" w:rsidRDefault="00EF4A61" w:rsidP="00EF4A61">
            <w:pPr>
              <w:pStyle w:val="ListParagraph"/>
              <w:widowControl/>
              <w:numPr>
                <w:ilvl w:val="2"/>
                <w:numId w:val="1"/>
              </w:numPr>
              <w:autoSpaceDE/>
              <w:autoSpaceDN/>
              <w:adjustRightInd/>
              <w:ind w:left="34" w:hanging="34"/>
              <w:contextualSpacing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Всеукраїнський конкурс проектів та програм розвитку місцевого самоврядування</w:t>
            </w:r>
          </w:p>
        </w:tc>
        <w:tc>
          <w:tcPr>
            <w:tcW w:w="1985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не менш, ніж 6 тематичним напрямам</w:t>
            </w:r>
          </w:p>
        </w:tc>
        <w:tc>
          <w:tcPr>
            <w:tcW w:w="1701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3 - 5 тематичним напрямам</w:t>
            </w:r>
          </w:p>
        </w:tc>
        <w:tc>
          <w:tcPr>
            <w:tcW w:w="1700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1 - 2 тематичним напрямам</w:t>
            </w:r>
          </w:p>
        </w:tc>
        <w:tc>
          <w:tcPr>
            <w:tcW w:w="1702" w:type="dxa"/>
          </w:tcPr>
          <w:p w:rsidR="00EF4A61" w:rsidRPr="004A4360" w:rsidRDefault="00EF4A61" w:rsidP="00876F0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</w:tr>
    </w:tbl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Оцінку проектної пропозиції «Київ-Сіті» представлено в таблиці 3.3.</w:t>
      </w:r>
      <w:r w:rsidRPr="004A4360">
        <w:rPr>
          <w:sz w:val="28"/>
          <w:szCs w:val="28"/>
          <w:lang w:val="uk-UA"/>
        </w:rPr>
        <w:br w:type="page"/>
      </w:r>
    </w:p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>Таблиця 3.3 – Оцінка проектної пропозиції «</w:t>
      </w:r>
      <w:r w:rsidRPr="004A4360">
        <w:rPr>
          <w:sz w:val="28"/>
          <w:szCs w:val="28"/>
        </w:rPr>
        <w:t>Ки</w:t>
      </w:r>
      <w:r w:rsidRPr="004A4360">
        <w:rPr>
          <w:sz w:val="28"/>
          <w:szCs w:val="28"/>
          <w:lang w:val="uk-UA"/>
        </w:rPr>
        <w:t>їв-Сіті»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5"/>
        <w:gridCol w:w="7482"/>
        <w:gridCol w:w="708"/>
      </w:tblGrid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Індикатор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Висновок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Бал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Повністю співпадає зі стратегічною метою складової Нацпроекту «Місто майбутнього»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Очікується досягнення усіх визначених для складової Нацпроекту результатів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4A436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та містобудування на рівні кращих світових практик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 створення базової інфраструктури, підготовку інвестиційних площадок, створення ключових об’єктів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1.1.5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Передбачається розроблення механізму реалізації ДПП, створення керуючої компанії; визначення і затвердження організаційного та правового механізмів реалізації інвестиційних проектів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1.1.6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Передбачається активна участь громади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1.1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2,5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напрямам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завданням і кільком пріоритетним напрямам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відповідає за визначеними заходами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1.2.5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цілям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1.2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іміджу держави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території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якості життя населення його території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галузі, в якої діють комерційні споживачі його продукту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lastRenderedPageBreak/>
              <w:t>У середньому за показником 1.3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1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2,5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ініціативам</w:t>
            </w:r>
            <w:r w:rsidRPr="004A4360">
              <w:rPr>
                <w:rStyle w:val="FontStyle188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відповідно до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Стратегії розвитку м. Києва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завданню у межах регіону і 1 у межах конкретної території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цільовим програмам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2.1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2,67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0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не відповідає стратегічній меті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5 та більше критеріям відбору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не менш, ніж 6 тематичним напрямам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2.2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2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2,33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Загальна оцінка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4A4360">
              <w:rPr>
                <w:i/>
                <w:sz w:val="28"/>
                <w:szCs w:val="28"/>
                <w:lang w:val="uk-UA"/>
              </w:rPr>
              <w:t>2,42</w:t>
            </w:r>
          </w:p>
        </w:tc>
      </w:tr>
    </w:tbl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Оцінку проектної пропозиції «</w:t>
      </w:r>
      <w:proofErr w:type="spellStart"/>
      <w:r w:rsidRPr="004A4360">
        <w:rPr>
          <w:sz w:val="28"/>
          <w:szCs w:val="28"/>
          <w:lang w:val="en-US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>» представлено в таблиці 3.4.</w:t>
      </w:r>
    </w:p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Таблиця 3.4 – Оцінка проектної пропозиції «</w:t>
      </w:r>
      <w:proofErr w:type="spellStart"/>
      <w:r w:rsidRPr="004A4360">
        <w:rPr>
          <w:sz w:val="28"/>
          <w:szCs w:val="28"/>
          <w:lang w:val="en-US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>»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5"/>
        <w:gridCol w:w="7344"/>
        <w:gridCol w:w="846"/>
      </w:tblGrid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bookmarkStart w:id="1" w:name="_Hlk357484036"/>
            <w:r w:rsidRPr="004A4360">
              <w:rPr>
                <w:sz w:val="28"/>
                <w:szCs w:val="28"/>
                <w:lang w:val="uk-UA"/>
              </w:rPr>
              <w:t>Індикатор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Висновок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Бал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Повністю співпадає зі стратегічною метою складової Нацпроекту «Місто майбутнього»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Очікується досягнення усіх визначених для складової Нацпроекту результатів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4A436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та містобудування на рівні кращих світових практик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Надані із державного бюджету коштів спрямовуються виключно на створення базової інфраструктури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1.1.5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Передбачається розроблення механізму реалізації ДПП, створення керуючої компанії; визначення і затвердження 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організаційного та правового механізмів реалізації інвестиційних проектів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1.1.6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Передбачається активна участь громади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1.1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2,83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напрямам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завданням і кільком пріоритетним напрямам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відповідає за визначеними заходами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1.2.5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цілям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1.2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іміджу держави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території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необхідним для підвищення якості життя населення його території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галузі, в якої діють комерційні споживачі його продукту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1.3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2,25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1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2,69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ініціативам</w:t>
            </w:r>
            <w:r w:rsidRPr="004A4360">
              <w:rPr>
                <w:rStyle w:val="FontStyle188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відповідно до Стратегії економічного і соціального розвитку Херсонської області до 2015 року 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 у межах регіону та 2 і більше у межах конкретної території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цільовим програмам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2.1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2.2.1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двом програмним напрямкам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2.2.2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не відповідає стратегічній меті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2.2.3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5 та більше критеріям відбору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2.2.4</w:t>
            </w:r>
          </w:p>
        </w:tc>
        <w:tc>
          <w:tcPr>
            <w:tcW w:w="7654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не менш, ніж 6 тематичним напрямам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2.2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2,75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2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2,875</w:t>
            </w:r>
          </w:p>
        </w:tc>
      </w:tr>
      <w:tr w:rsidR="00EF4A61" w:rsidRPr="004A4360" w:rsidTr="00876F0A">
        <w:tc>
          <w:tcPr>
            <w:tcW w:w="8897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Загальна оцінка</w:t>
            </w:r>
          </w:p>
        </w:tc>
        <w:tc>
          <w:tcPr>
            <w:tcW w:w="708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4A4360">
              <w:rPr>
                <w:i/>
                <w:sz w:val="28"/>
                <w:szCs w:val="28"/>
                <w:lang w:val="uk-UA"/>
              </w:rPr>
              <w:t>2,78</w:t>
            </w:r>
          </w:p>
        </w:tc>
      </w:tr>
    </w:tbl>
    <w:bookmarkEnd w:id="1"/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Оцінку проектної пропозиції «Технополіс «П’ятихатки» представлено в таблиці 3.5.</w:t>
      </w:r>
    </w:p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Таблиця 3.5 – Оцінка проектної пропозиції «Технополіс «П’ятихатки»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5"/>
        <w:gridCol w:w="7436"/>
        <w:gridCol w:w="754"/>
      </w:tblGrid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Індикатор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Висновок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Бал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Частково співпадає зі стратегічною метою Нацпроекту «Місто майбутнього»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Очікується досягнення 2 стратегічних результатів Нацпроекту «Місто майбутнього»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 w:rsidRPr="004A436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та містобудування на рівні вищому за стандартний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Надані із державного бюджету коштів спрямовуються виключно на створення базової інфраструктури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1.1.5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Передбачається розроблення механізму реалізації ДПП, створення керуючої компанії; визначення і затвердження організаційного та правового механізмів реалізації інвестиційних проектів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1.1.6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Передбачається активна участь громади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1.1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напрямам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завданням і кільком пріоритетним напрямам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не відповідає за визначеними заходами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1.2.5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0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1.2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одним із засобів підвищення іміджу держави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1.3.2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території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 дещо сприяє підвищенню якості життя населення його території, або такий вплив може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нивелюватися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, тому що проект має певні негативні наслідки для населення його території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галузі, в якої діють комерційні споживачі його продукту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1.3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1,75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1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1,98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Відповідає 1 стратегічній ініціативі </w:t>
            </w:r>
            <w:r w:rsidRPr="004A4360">
              <w:rPr>
                <w:rStyle w:val="FontStyle188"/>
                <w:rFonts w:ascii="Times New Roman" w:hAnsi="Times New Roman" w:cs="Times New Roman"/>
                <w:i/>
                <w:sz w:val="28"/>
                <w:szCs w:val="28"/>
                <w:lang w:val="uk-UA" w:eastAsia="uk-UA"/>
              </w:rPr>
              <w:t>Стратегії сталого розвитку Харківської області до 2020 року</w:t>
            </w: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але конкретно відображає кілька цілей розвитку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 у межах регіону та 2 і більше у межах конкретної території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відповідає цільовим програмам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2.1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двом програмним напрямкам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відповідає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0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критерію відбору або не відповідає жодному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0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1 - 2 тематичним напрямам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2.2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2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1,5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Загальна оцінка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4A4360">
              <w:rPr>
                <w:i/>
                <w:sz w:val="28"/>
                <w:szCs w:val="28"/>
                <w:lang w:val="uk-UA"/>
              </w:rPr>
              <w:t>1,74</w:t>
            </w:r>
          </w:p>
        </w:tc>
      </w:tr>
    </w:tbl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Оцінку проектної пропозиції «Місто </w:t>
      </w:r>
      <w:proofErr w:type="spellStart"/>
      <w:r w:rsidRPr="004A4360">
        <w:rPr>
          <w:sz w:val="28"/>
          <w:szCs w:val="28"/>
          <w:lang w:val="uk-UA"/>
        </w:rPr>
        <w:t>Кіммерік</w:t>
      </w:r>
      <w:proofErr w:type="spellEnd"/>
      <w:r w:rsidRPr="004A4360">
        <w:rPr>
          <w:sz w:val="28"/>
          <w:szCs w:val="28"/>
          <w:lang w:val="uk-UA"/>
        </w:rPr>
        <w:t>» представлено в таблиці 3.6.</w:t>
      </w:r>
    </w:p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br w:type="page"/>
      </w:r>
    </w:p>
    <w:p w:rsidR="00EF4A61" w:rsidRPr="004A4360" w:rsidRDefault="00EF4A61" w:rsidP="00EF4A6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 xml:space="preserve">Таблиця 3.6 – Оцінка проектної пропозиції «Місто </w:t>
      </w:r>
      <w:proofErr w:type="spellStart"/>
      <w:r w:rsidRPr="004A4360">
        <w:rPr>
          <w:sz w:val="28"/>
          <w:szCs w:val="28"/>
          <w:lang w:val="uk-UA"/>
        </w:rPr>
        <w:t>Кіммерік</w:t>
      </w:r>
      <w:proofErr w:type="spellEnd"/>
      <w:r w:rsidRPr="004A4360">
        <w:rPr>
          <w:sz w:val="28"/>
          <w:szCs w:val="28"/>
          <w:lang w:val="uk-UA"/>
        </w:rPr>
        <w:t>»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5"/>
        <w:gridCol w:w="7344"/>
        <w:gridCol w:w="846"/>
      </w:tblGrid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Індикатор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Висновок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Бал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Повністю співпадає зі стратегічною метою складової Нацпроекту «Місто майбутнього»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Очікується досягнення усіх визначених для складової Нацпроекту результатів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4A436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та містобудування на рівні кращих світових практик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Надані із державного бюджету коштів спрямовуються виключно на створення базової інфраструктури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1.1.5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Передбачається розроблення механізму реалізації ДПП, створення керуючої компанії; визначення і затвердження організаційного та правового механізмів реалізації інвестиційних проектів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1.1.6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Передбачається активна участь громади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1.1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2,83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напрямам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завданням і кільком пріоритетним напрямам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Повністю відповідає за визначеними заходами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1.2.5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цілям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1.2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іміджу держави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території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частково сприяє підвищенню якості життя населення його території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є одним із засобів підвищення конкурентоздатності галузі, в якої діють комерційні споживачі його продукту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lastRenderedPageBreak/>
              <w:t>У середньому за показником 1.3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1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2,61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стратегічним ініціативам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завданням у межах регіону та 2 і більше у межах конкретної території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2 і більше цільовим програмам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2.1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2.2.1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двом програмним напрямкам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2.2.2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Частково не відповідає стратегічній меті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2.2.3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5 та більше критеріям відбору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1243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2.2.4</w:t>
            </w:r>
          </w:p>
        </w:tc>
        <w:tc>
          <w:tcPr>
            <w:tcW w:w="7606" w:type="dxa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Відповідає не менш, ніж 6 тематичним напрямам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показником 2.2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2,75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 середньому за критерієм 2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2,875</w:t>
            </w:r>
          </w:p>
        </w:tc>
      </w:tr>
      <w:tr w:rsidR="00EF4A61" w:rsidRPr="004A4360" w:rsidTr="00876F0A">
        <w:tc>
          <w:tcPr>
            <w:tcW w:w="8849" w:type="dxa"/>
            <w:gridSpan w:val="2"/>
          </w:tcPr>
          <w:p w:rsidR="00EF4A61" w:rsidRPr="004A4360" w:rsidRDefault="00EF4A61" w:rsidP="00876F0A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4A4360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Загальна оцінка</w:t>
            </w:r>
          </w:p>
        </w:tc>
        <w:tc>
          <w:tcPr>
            <w:tcW w:w="756" w:type="dxa"/>
          </w:tcPr>
          <w:p w:rsidR="00EF4A61" w:rsidRPr="004A4360" w:rsidRDefault="00EF4A61" w:rsidP="00876F0A">
            <w:pPr>
              <w:spacing w:line="360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4A4360">
              <w:rPr>
                <w:i/>
                <w:sz w:val="28"/>
                <w:szCs w:val="28"/>
                <w:lang w:val="uk-UA"/>
              </w:rPr>
              <w:t>2,74</w:t>
            </w:r>
          </w:p>
        </w:tc>
      </w:tr>
    </w:tbl>
    <w:p w:rsidR="003258E6" w:rsidRDefault="003258E6">
      <w:bookmarkStart w:id="2" w:name="_GoBack"/>
      <w:bookmarkEnd w:id="2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543E0"/>
    <w:multiLevelType w:val="multilevel"/>
    <w:tmpl w:val="59A8120A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5FF"/>
    <w:rsid w:val="003258E6"/>
    <w:rsid w:val="007F55FF"/>
    <w:rsid w:val="00E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EF4A61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88">
    <w:name w:val="Font Style188"/>
    <w:rsid w:val="00EF4A61"/>
    <w:rPr>
      <w:rFonts w:ascii="Franklin Gothic Medium" w:hAnsi="Franklin Gothic Medium" w:cs="Franklin Gothic Medium"/>
      <w:sz w:val="18"/>
      <w:szCs w:val="18"/>
    </w:rPr>
  </w:style>
  <w:style w:type="character" w:customStyle="1" w:styleId="st96">
    <w:name w:val="st96"/>
    <w:rsid w:val="00EF4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EF4A61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88">
    <w:name w:val="Font Style188"/>
    <w:rsid w:val="00EF4A61"/>
    <w:rPr>
      <w:rFonts w:ascii="Franklin Gothic Medium" w:hAnsi="Franklin Gothic Medium" w:cs="Franklin Gothic Medium"/>
      <w:sz w:val="18"/>
      <w:szCs w:val="18"/>
    </w:rPr>
  </w:style>
  <w:style w:type="character" w:customStyle="1" w:styleId="st96">
    <w:name w:val="st96"/>
    <w:rsid w:val="00EF4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2377</Words>
  <Characters>13551</Characters>
  <Application>Microsoft Office Word</Application>
  <DocSecurity>0</DocSecurity>
  <Lines>112</Lines>
  <Paragraphs>31</Paragraphs>
  <ScaleCrop>false</ScaleCrop>
  <Company/>
  <LinksUpToDate>false</LinksUpToDate>
  <CharactersWithSpaces>15897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2013-07-17T12:53:00Z</dcterms:created>
  <dcterms:modified xsi:type="dcterms:W3CDTF">2013-07-17T12:53:00Z</dcterms:modified>
</cp:coreProperties>
</file>